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ECAD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8"/>
          <w:sz w:val="44"/>
          <w:szCs w:val="44"/>
          <w:lang w:val="en-US" w:eastAsia="zh-CN"/>
        </w:rPr>
        <w:t>襄垣县王村镇关于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8"/>
          <w:sz w:val="44"/>
          <w:szCs w:val="44"/>
        </w:rPr>
        <w:t>2024年法治政府</w:t>
      </w:r>
    </w:p>
    <w:p w14:paraId="556C59A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361" w:after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napToGrid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8"/>
          <w:sz w:val="44"/>
          <w:szCs w:val="44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8"/>
          <w:sz w:val="44"/>
          <w:szCs w:val="44"/>
          <w:lang w:val="en-US" w:eastAsia="zh-CN"/>
        </w:rPr>
        <w:t>情况的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8"/>
          <w:sz w:val="44"/>
          <w:szCs w:val="44"/>
        </w:rPr>
        <w:t>报告</w:t>
      </w:r>
    </w:p>
    <w:p w14:paraId="63210B86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2024年，在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县委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政府的正确领导下，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王村镇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坚持以习近平法治思想为指引，扎实推进法治政府建设各项工作，不断提升依法行政水平，为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镇经济社会高质量发展营造良好的法治环境。现将本年度法治政府建设情况报告如下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eastAsia="zh-CN"/>
        </w:rPr>
        <w:t>：</w:t>
      </w:r>
    </w:p>
    <w:p w14:paraId="3C168958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spacing w:val="8"/>
          <w:sz w:val="32"/>
          <w:szCs w:val="32"/>
        </w:rPr>
        <w:t>一、法治政府建设的主要举措和成效</w:t>
      </w:r>
    </w:p>
    <w:p w14:paraId="576E07F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（一）加强组织领导，完善法治建设机制</w:t>
      </w:r>
    </w:p>
    <w:p w14:paraId="2DE45E59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成立以镇党委书记为组长，镇长为副组长，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其余班子成员和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各相关部门负责人为成员的法治政府建设工作领导小组，定期召开专题会议，研究部署法治建设工作，制定年度工作计划，明确各部门职责，确保法治政府建设工作有序推进。</w:t>
      </w:r>
    </w:p>
    <w:p w14:paraId="1D3B3DBC">
      <w:pPr>
        <w:pStyle w:val="1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强化法治宣传，营造浓厚法治氛围</w:t>
      </w:r>
    </w:p>
    <w:p w14:paraId="0D92B21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利用“国家宪法日”“消费者权益保护日”等重要时间节点，通过举办法律知识讲座、法律咨询服务、发放宣传资料等方式，深入农村、社区、学校、企业等开展法治宣传教育活动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切实增强群众法治意识。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今年以来，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借助LED屏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公众号、朋友圈，不定期推送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普法知识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，受教群众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000余人</w:t>
      </w:r>
    </w:p>
    <w:p w14:paraId="1F93D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次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开展集中普法宣传56次，其中对20个行政村、2所学校实现全覆盖，深入辖区企业宣传10余次。</w:t>
      </w:r>
    </w:p>
    <w:p w14:paraId="7302245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（三）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val="en-US" w:eastAsia="zh-CN"/>
        </w:rPr>
        <w:t>推进依法决策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，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val="en-US" w:eastAsia="zh-CN"/>
        </w:rPr>
        <w:t>严格规范权力运行</w:t>
      </w:r>
    </w:p>
    <w:p w14:paraId="3A8E00C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严格遵守重大决策法定程序，确保涉及全镇发展重大事项决策合法合规。建立健全合法性审查制度，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严格审查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各类规范性文件、合同协议，避免法律风险。积极推进政务公开，主动向社会公开信息，保障群众知情权、参与权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监督权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今年以来，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充分发挥法律顾问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驻镇值班律师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作用，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为重大决策提供法律意见3次，审查重要项目合同30余次，提供法律咨询50余次，未发生涉法涉诉情况。</w:t>
      </w:r>
    </w:p>
    <w:p w14:paraId="2E8F32CD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公正文明执法，提高行政执法水平</w:t>
      </w:r>
    </w:p>
    <w:p w14:paraId="69AA700E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加强行政执法队伍建设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组织执法人员参加各类业务培训和执法资格考试，全年累计培训执法人员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人次，执法人员持证上岗率达到100%，有效提升了执法人员的业务素质和执法能力。</w:t>
      </w:r>
    </w:p>
    <w:p w14:paraId="27B71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常态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化开展行政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执法。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综合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执法队每周统一服装、统一标识，深入全镇常态化开展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执法工作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截至目前，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巡查巡检沿街门店、驻镇企业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102余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次，下达违法占地行政处罚决定书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起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。</w:t>
      </w:r>
    </w:p>
    <w:p w14:paraId="58360844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Chars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3.健全完善行政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执法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制度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即行政执法公示制度、执法全过程记录制度、重大执法决定法制审核制度。通过政务网站及时公示行政执法信息，配备执法记录仪等设备对执法过程进行全程记录，严格执行重大执法决定法制审核，确保行政执法行为规范透明、公正文明。2024年，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在执法过程中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未发生因执法不当引发的行政复议或行政诉讼案件。</w:t>
      </w:r>
    </w:p>
    <w:p w14:paraId="6A90723D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Chars="0"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（五）依法化解矛盾，维护社会和谐稳定</w:t>
      </w:r>
    </w:p>
    <w:p w14:paraId="19EF5B88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Chars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建立健全矛盾纠纷多元化解机制，加强人民调解、行政调解、司法调解衔接配合，及时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依法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有效化解各类矛盾纠纷。加强信访工作法治化建设，引导群众依法理性表达诉求，维护正常信访秩序和社会稳定。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今年以来，镇综治中心、网格员、派出所、司法所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kern w:val="0"/>
          <w:sz w:val="32"/>
          <w:szCs w:val="32"/>
          <w:lang w:val="en-US" w:eastAsia="zh-CN"/>
        </w:rPr>
        <w:t>共排查矛盾纠纷152件，化解148件，其中人民调解53件，行政调解38件，司法调解57件。</w:t>
      </w:r>
    </w:p>
    <w:p w14:paraId="2ABFD2E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pacing w:val="8"/>
          <w:sz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spacing w:val="8"/>
          <w:sz w:val="32"/>
        </w:rPr>
        <w:t>二、推进法治政府建设存在的不足和原因</w:t>
      </w:r>
    </w:p>
    <w:p w14:paraId="01E1D3E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（一）部分干部法治意识仍需加强</w:t>
      </w:r>
    </w:p>
    <w:p w14:paraId="3FC7D452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虽然通过一系列法治培训和宣传活动，大部分干部的法治意识有了明显提高，但仍有少数干部对法治工作重视程度不够，在实际工作中存在凭经验办事、法治思维运用不足的情况。主要原因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法治教育的针对性和长效性还不够，部分干部缺乏主动学习法律知识的积极性，对法治理念的深入理解和贯彻落实还不到位。</w:t>
      </w:r>
    </w:p>
    <w:p w14:paraId="4E95CBF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行政执法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力量薄弱有待加强</w:t>
      </w:r>
    </w:p>
    <w:p w14:paraId="733DDEFA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Chars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随着镇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域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经济社会发展，行政执法任务日益繁重，但执法人员数量不足、专业结构不合理等问题较为突出，一定程度上影响了执法工作质量和效率。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主要原因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受乡镇编制等因素限制，难以在短时间内充实足够专业执法人员，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致使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执法队伍建设相对滞后。</w:t>
      </w:r>
    </w:p>
    <w:p w14:paraId="2D0CDC8D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Chars="0"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（三）法治宣传的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val="en-US" w:eastAsia="zh-CN"/>
        </w:rPr>
        <w:t>广度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和深度不够</w:t>
      </w:r>
    </w:p>
    <w:p w14:paraId="0792B34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在一些偏远农村地区，部分群众对法律法规知晓率仍然较低，法治宣传内容多侧重于普及基本法律常识，对一些与群众生产生活密切相关的专业法律知识解读不够深入，难以满足群众日益增长的法律需求。主要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原因为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受宣传资源有限、宣传方式不够创新等因素制约，未能充分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不同群体特点和接受程度，开展精准有效宣传。</w:t>
      </w:r>
    </w:p>
    <w:p w14:paraId="1BE30E20">
      <w:pPr>
        <w:pStyle w:val="1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spacing w:val="8"/>
          <w:sz w:val="32"/>
          <w:szCs w:val="32"/>
        </w:rPr>
        <w:t>党政主要负责人履行第一责任人情况</w:t>
      </w:r>
    </w:p>
    <w:p w14:paraId="6012F73B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镇党委书记和镇长作为法治政府建设第一责任人，始终高度重视法治工作，切实履行职责，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充分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发挥引领示范作用。</w:t>
      </w:r>
    </w:p>
    <w:p w14:paraId="215EEA99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（一）带头学法用法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val="en-US" w:eastAsia="zh-CN"/>
        </w:rPr>
        <w:t>守法</w:t>
      </w:r>
    </w:p>
    <w:p w14:paraId="712EC06E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积极参加各类法治专题培训和学习活动，主动学习习近平法治思想及宪法、民法典等法律法规，不断提高自身法治素养，带头运用法治思维和法治方式解决实际问题，为全镇干部树立良好榜样。</w:t>
      </w:r>
    </w:p>
    <w:p w14:paraId="23AF8D77">
      <w:pPr>
        <w:pStyle w:val="1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统筹推进法治建设</w:t>
      </w:r>
    </w:p>
    <w:p w14:paraId="4157FA0D">
      <w:pPr>
        <w:keepNext w:val="0"/>
        <w:keepLines w:val="0"/>
        <w:pageBreakBefore w:val="0"/>
        <w:widowControl w:val="0"/>
        <w:tabs>
          <w:tab w:val="left" w:pos="13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将法治政府建设纳入乡镇经济社会发展总体规划和年度工作计划，与中心工作同部署、同推进、同考核。定期听取法治政府建设工作汇报，及时研究解决工作中存在的困难和问题，确保法治建设各项任务落到实处。</w:t>
      </w:r>
    </w:p>
    <w:p w14:paraId="3DDA4C0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（三）强化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val="en-US" w:eastAsia="zh-CN"/>
        </w:rPr>
        <w:t>法治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监督考核</w:t>
      </w:r>
    </w:p>
    <w:p w14:paraId="1230809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建立健全法治政府建设工作考核评价机制，将法治建设成效纳入领导干部绩效考核和年度述职内容，对工作落实不力的部门和个人进行问责，有力推动全镇法治政府建设工作扎实开展。</w:t>
      </w:r>
    </w:p>
    <w:p w14:paraId="7190034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spacing w:val="8"/>
          <w:sz w:val="32"/>
          <w:szCs w:val="32"/>
        </w:rPr>
        <w:t>四、2025年法治政府建设主要安排</w:t>
      </w:r>
    </w:p>
    <w:p w14:paraId="6910E40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（一）持续深化法治宣传教育</w:t>
      </w:r>
    </w:p>
    <w:p w14:paraId="4E36FBF4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Chars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制定针对性的普法计划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根据不同群体特点和需求，开展精准普法活动，重点加强对农村群众、青少年、企业经营管理人员等群体法治宣传教育，提高普法实效性。</w:t>
      </w:r>
    </w:p>
    <w:p w14:paraId="28BCC01D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Chars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创新法治宣传方式方法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充分利用新媒体平台，如微信公众号、抖音短视频等，制作发布更多生动有趣、通俗易懂的法治宣传作品，扩大法治宣传覆盖面和影响力。</w:t>
      </w:r>
    </w:p>
    <w:p w14:paraId="13CA691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（二）进一步完善行政执法机制</w:t>
      </w:r>
    </w:p>
    <w:p w14:paraId="701BFD67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Chars="0" w:firstLine="672" w:firstLineChars="200"/>
        <w:jc w:val="both"/>
        <w:textAlignment w:val="auto"/>
        <w:rPr>
          <w:rFonts w:hint="eastAsia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建立健全协调联动长效机制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加强同县直执法部门的沟通协调机制，实现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信息共享，形成执法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合力，提高行政执法效率。</w:t>
      </w:r>
    </w:p>
    <w:p w14:paraId="03776853">
      <w:pPr>
        <w:keepNext w:val="0"/>
        <w:keepLines w:val="0"/>
        <w:pageBreakBefore w:val="0"/>
        <w:tabs>
          <w:tab w:val="left" w:pos="846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2.持续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加强行政执法队伍建设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加大培训力度，丰富培训内容，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既要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注重业务知识培训，还要强化职业道德教育，打造一支政治素质高、业务能力强、执法形象好的行政执法队伍。</w:t>
      </w:r>
    </w:p>
    <w:p w14:paraId="6B2D9DC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（三）加强行政规范性文件管理</w:t>
      </w:r>
    </w:p>
    <w:p w14:paraId="6BBEF985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完善行政规范性文件制定、审查、备案、清理等工作流程，严格落实合法性审查制度，加强对规范性文件的动态管理，定期开展清理工作，确保规范性文件的合法性、合理性和时效性。</w:t>
      </w:r>
    </w:p>
    <w:p w14:paraId="76EC678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val="en-US" w:eastAsia="zh-CN"/>
        </w:rPr>
        <w:t>持续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强化法治监督考核</w:t>
      </w:r>
    </w:p>
    <w:p w14:paraId="1221BE70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优化法治政府建设考核评价指标体系，加大考核权重，充分发挥考核“指挥棒”作用，加强对各部门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及驻镇单位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法治建设工作的日常监督检查，及时发现问题并督促整改，确保法治政府建设各项任务扎实推进。</w:t>
      </w:r>
    </w:p>
    <w:p w14:paraId="3FAFF718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spacing w:val="8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napToGrid w:val="0"/>
          <w:spacing w:val="8"/>
          <w:sz w:val="32"/>
          <w:szCs w:val="32"/>
        </w:rPr>
        <w:t>对全县加强法治政府建设的意见建议</w:t>
      </w:r>
    </w:p>
    <w:p w14:paraId="51E30B54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加强顶层设计和统筹指导</w:t>
      </w:r>
    </w:p>
    <w:p w14:paraId="72149250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建议进一步完善法治政府建设的总体规划和配套制度，加强对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镇法治政府建设工作的统筹协调和业务指导，定期组织开展法治建设工作经验交流和培训活动，促进全县法治政府建设工作整体水平的提升。</w:t>
      </w:r>
    </w:p>
    <w:p w14:paraId="47D4F23C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（二）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  <w:lang w:val="en-US" w:eastAsia="zh-CN"/>
        </w:rPr>
        <w:t>进一步</w:t>
      </w: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加大法治资源投入</w:t>
      </w:r>
    </w:p>
    <w:p w14:paraId="42C484C3">
      <w:pPr>
        <w:keepNext w:val="0"/>
        <w:keepLines w:val="0"/>
        <w:pageBreakBefore w:val="0"/>
        <w:widowControl w:val="0"/>
        <w:tabs>
          <w:tab w:val="left" w:pos="9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适当增加对基层法治建设的经费投入，保障法治宣传、执法培训、执法装备配备等工作顺利开展。同时，充实基层法治专业人才队伍，通过人才引进等方式，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为镇法治政府建设提供有力人才支撑。</w:t>
      </w:r>
    </w:p>
    <w:p w14:paraId="344C9B7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napToGrid w:val="0"/>
          <w:spacing w:val="8"/>
          <w:sz w:val="32"/>
          <w:szCs w:val="32"/>
        </w:rPr>
        <w:t>（三）建立健全法治建设激励机制</w:t>
      </w:r>
    </w:p>
    <w:p w14:paraId="0071EA3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设立法治政府建设专项奖励资金，对在法治建设工作中表现突出的乡镇、部门和个人给予表彰奖励，充分调动各级各部门开展法治建设工作的积极性和主动性，营造良好法治建设工作氛围。</w:t>
      </w:r>
    </w:p>
    <w:p w14:paraId="7E38B91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总之，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我镇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2024年在法治政府建设方面取得了一定成效，但也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存在不少短板弱项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。今后，我们将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坚持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问题导向，持续发力，不断推进法治政府建设向纵深发展，为建设法治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襄垣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</w:rPr>
        <w:t>贡献乡镇力量。</w:t>
      </w:r>
    </w:p>
    <w:p w14:paraId="5524FC1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5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napToGrid w:val="0"/>
          <w:spacing w:val="8"/>
          <w:sz w:val="32"/>
          <w:szCs w:val="32"/>
        </w:rPr>
      </w:pPr>
    </w:p>
    <w:p w14:paraId="474E8E69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5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napToGrid w:val="0"/>
          <w:spacing w:val="8"/>
          <w:sz w:val="32"/>
          <w:szCs w:val="32"/>
        </w:rPr>
      </w:pPr>
    </w:p>
    <w:p w14:paraId="12A1816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5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napToGrid w:val="0"/>
          <w:spacing w:val="8"/>
          <w:sz w:val="32"/>
          <w:szCs w:val="32"/>
        </w:rPr>
      </w:pPr>
    </w:p>
    <w:p w14:paraId="2FD67DC1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5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spacing w:val="8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>襄垣县王村镇人民政府</w:t>
      </w:r>
    </w:p>
    <w:p w14:paraId="328AF4C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32"/>
          <w:szCs w:val="32"/>
          <w:lang w:val="en-US" w:eastAsia="zh-CN"/>
        </w:rPr>
        <w:t xml:space="preserve">                            2025年1月9日</w:t>
      </w:r>
    </w:p>
    <w:sectPr>
      <w:footerReference r:id="rId3" w:type="default"/>
      <w:pgSz w:w="11906" w:h="16838"/>
      <w:pgMar w:top="2098" w:right="1474" w:bottom="1984" w:left="1587" w:header="708" w:footer="708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CD25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5099050</wp:posOffset>
              </wp:positionH>
              <wp:positionV relativeFrom="paragraph">
                <wp:posOffset>-241300</wp:posOffset>
              </wp:positionV>
              <wp:extent cx="516890" cy="4781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78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21F7B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1.5pt;margin-top:-19pt;height:37.65pt;width:40.7pt;mso-position-horizontal-relative:margin;z-index:251659264;mso-width-relative:page;mso-height-relative:page;" filled="f" stroked="f" coordsize="21600,21600" o:gfxdata="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+0xZu2QAAAAoBAAAPAAAAAAAAAAEAIAAAACIAAABkcnMvZG93&#10;bnJldi54bWxQSwECFAAUAAAACACHTuJAyLUwTDgCAABh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921F7B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6CDEF"/>
    <w:multiLevelType w:val="singleLevel"/>
    <w:tmpl w:val="B526CD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F593E9"/>
    <w:multiLevelType w:val="singleLevel"/>
    <w:tmpl w:val="4EF593E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ODU3MGU1ZDQxMWE5ZDg4NGU1ZTZiYmRhYzMxZjlhMzQifQ=="/>
  </w:docVars>
  <w:rsids>
    <w:rsidRoot w:val="00000000"/>
    <w:rsid w:val="001570FF"/>
    <w:rsid w:val="016A5229"/>
    <w:rsid w:val="031418F0"/>
    <w:rsid w:val="03B12767"/>
    <w:rsid w:val="08C6368D"/>
    <w:rsid w:val="0923288D"/>
    <w:rsid w:val="0B8909A2"/>
    <w:rsid w:val="0E8A0CB9"/>
    <w:rsid w:val="0E8D69FB"/>
    <w:rsid w:val="0EC51CF1"/>
    <w:rsid w:val="0FF00FEF"/>
    <w:rsid w:val="129739A4"/>
    <w:rsid w:val="13C24A51"/>
    <w:rsid w:val="168129A1"/>
    <w:rsid w:val="1D864D41"/>
    <w:rsid w:val="1F1C3BAF"/>
    <w:rsid w:val="1FFC578E"/>
    <w:rsid w:val="21EC21C6"/>
    <w:rsid w:val="2331574F"/>
    <w:rsid w:val="24305A06"/>
    <w:rsid w:val="25E35426"/>
    <w:rsid w:val="268169ED"/>
    <w:rsid w:val="27247AA4"/>
    <w:rsid w:val="27547C5E"/>
    <w:rsid w:val="29AC5B2F"/>
    <w:rsid w:val="29D05CC2"/>
    <w:rsid w:val="2CB05936"/>
    <w:rsid w:val="2CDE06F5"/>
    <w:rsid w:val="2E206AEC"/>
    <w:rsid w:val="2EE47B19"/>
    <w:rsid w:val="2F972DDE"/>
    <w:rsid w:val="379C3687"/>
    <w:rsid w:val="3A8F1281"/>
    <w:rsid w:val="3C083E17"/>
    <w:rsid w:val="3C131A3E"/>
    <w:rsid w:val="3CD967E3"/>
    <w:rsid w:val="3D5642D8"/>
    <w:rsid w:val="40384169"/>
    <w:rsid w:val="421D53C4"/>
    <w:rsid w:val="423A5F76"/>
    <w:rsid w:val="423C1CEE"/>
    <w:rsid w:val="42E61C5A"/>
    <w:rsid w:val="42ED4D97"/>
    <w:rsid w:val="43016A94"/>
    <w:rsid w:val="43193DDE"/>
    <w:rsid w:val="44625310"/>
    <w:rsid w:val="449B0822"/>
    <w:rsid w:val="44C47D79"/>
    <w:rsid w:val="47947ED7"/>
    <w:rsid w:val="48D16F09"/>
    <w:rsid w:val="4E597784"/>
    <w:rsid w:val="4E712D20"/>
    <w:rsid w:val="4F974A08"/>
    <w:rsid w:val="506A211C"/>
    <w:rsid w:val="53C858A1"/>
    <w:rsid w:val="53DF24DA"/>
    <w:rsid w:val="57FB5D50"/>
    <w:rsid w:val="5805272B"/>
    <w:rsid w:val="5AE14D89"/>
    <w:rsid w:val="5BDE751B"/>
    <w:rsid w:val="5D3A2E77"/>
    <w:rsid w:val="5D972077"/>
    <w:rsid w:val="5E8720EC"/>
    <w:rsid w:val="62EA0E9B"/>
    <w:rsid w:val="63957059"/>
    <w:rsid w:val="64F41B5D"/>
    <w:rsid w:val="6740552D"/>
    <w:rsid w:val="674F751F"/>
    <w:rsid w:val="6C830396"/>
    <w:rsid w:val="6E3A2CD6"/>
    <w:rsid w:val="6EA2087C"/>
    <w:rsid w:val="6F213EE2"/>
    <w:rsid w:val="6F912DCA"/>
    <w:rsid w:val="70D311C0"/>
    <w:rsid w:val="72DD6326"/>
    <w:rsid w:val="76283D5C"/>
    <w:rsid w:val="774921DC"/>
    <w:rsid w:val="794964C4"/>
    <w:rsid w:val="79D42231"/>
    <w:rsid w:val="7B346CFF"/>
    <w:rsid w:val="7B6E0463"/>
    <w:rsid w:val="7ECD7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"/>
    <w:basedOn w:val="1"/>
    <w:qFormat/>
    <w:uiPriority w:val="0"/>
    <w:pPr>
      <w:spacing w:after="120"/>
      <w:ind w:left="200" w:leftChars="200"/>
    </w:p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8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2896</Words>
  <Characters>2945</Characters>
  <TotalTime>11</TotalTime>
  <ScaleCrop>false</ScaleCrop>
  <LinksUpToDate>false</LinksUpToDate>
  <CharactersWithSpaces>3001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2025-01-12T09:42:00Z</dcterms:created>
  <dc:creator>Un-named</dc:creator>
  <cp:lastModifiedBy>俊</cp:lastModifiedBy>
  <cp:lastPrinted>2025-01-15T08:12:00Z</cp:lastPrinted>
  <dcterms:modified xsi:type="dcterms:W3CDTF">2025-01-16T07:28:50Z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eyJoZGlkIjoiMjBhN2VkZDQ2YTY4ZTY2OGEyOGQ5YjM1NzdlMzBlMWYiLCJ1c2VySWQiOiI0NzIwNzk0NzcifQ==</vt:lpwstr>
  </property>
  <property fmtid="{D5CDD505-2E9C-101B-9397-08002B2CF9AE}" pid="3" name="KSOProductBuildVer">
    <vt:lpwstr>2052-12.1.0.18276</vt:lpwstr>
  </property>
  <property fmtid="{D5CDD505-2E9C-101B-9397-08002B2CF9AE}" pid="4" name="ICV">
    <vt:lpwstr>919D75E08E3E4C31A4CDD0E062F12E45_12</vt:lpwstr>
  </property>
</Properties>
</file>