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黑体" w:hAnsi="黑体" w:eastAsia="黑体" w:cstheme="minorEastAsia"/>
          <w:sz w:val="52"/>
          <w:szCs w:val="52"/>
          <w:lang w:eastAsia="zh-CN"/>
        </w:rPr>
        <w:t>安全生产监督管理</w:t>
      </w:r>
      <w:r>
        <w:rPr>
          <w:rFonts w:hint="eastAsia" w:ascii="Arial" w:hAnsi="Arial" w:eastAsia="黑体" w:cs="Arial"/>
          <w:sz w:val="52"/>
          <w:szCs w:val="52"/>
          <w:lang w:eastAsia="zh-CN"/>
        </w:rPr>
        <w:t>局</w:t>
      </w:r>
      <w:r>
        <w:rPr>
          <w:rFonts w:hint="eastAsia" w:ascii="黑体" w:hAnsi="黑体" w:eastAsia="黑体" w:cstheme="minorEastAsia"/>
          <w:sz w:val="52"/>
          <w:szCs w:val="52"/>
        </w:rPr>
        <w:t>部门</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hint="eastAsia" w:asciiTheme="minorEastAsia" w:hAnsiTheme="minorEastAsia" w:cstheme="minorEastAsia"/>
          <w:sz w:val="32"/>
          <w:szCs w:val="32"/>
        </w:rPr>
      </w:pPr>
    </w:p>
    <w:p>
      <w:pPr>
        <w:ind w:firstLine="640" w:firstLineChars="200"/>
        <w:rPr>
          <w:rFonts w:hint="eastAsia" w:asciiTheme="minorEastAsia" w:hAnsiTheme="minorEastAsia" w:cstheme="minorEastAsia"/>
          <w:sz w:val="32"/>
          <w:szCs w:val="32"/>
        </w:rPr>
      </w:pPr>
    </w:p>
    <w:p>
      <w:pPr>
        <w:ind w:firstLine="640" w:firstLineChars="200"/>
        <w:rPr>
          <w:rFonts w:hint="eastAsia" w:asciiTheme="minorEastAsia" w:hAnsiTheme="minorEastAsia" w:cstheme="minorEastAsia"/>
          <w:sz w:val="32"/>
          <w:szCs w:val="32"/>
        </w:rPr>
      </w:pPr>
    </w:p>
    <w:p>
      <w:pPr>
        <w:ind w:firstLine="640" w:firstLineChars="200"/>
        <w:rPr>
          <w:rFonts w:hint="eastAsia" w:asciiTheme="minorEastAsia" w:hAnsiTheme="minorEastAsia" w:cstheme="minorEastAsia"/>
          <w:sz w:val="32"/>
          <w:szCs w:val="32"/>
        </w:rPr>
      </w:pPr>
    </w:p>
    <w:p>
      <w:pPr>
        <w:ind w:firstLine="640" w:firstLineChars="200"/>
        <w:rPr>
          <w:rFonts w:hint="eastAsia"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spacing w:before="156" w:beforeLines="50" w:after="312" w:afterLines="1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hint="eastAsia" w:ascii="黑体" w:hAnsi="黑体" w:eastAsia="黑体" w:cstheme="minorEastAsia"/>
          <w:sz w:val="32"/>
          <w:szCs w:val="32"/>
          <w:lang w:eastAsia="zh-CN"/>
        </w:rPr>
      </w:pPr>
    </w:p>
    <w:p>
      <w:pPr>
        <w:ind w:firstLine="640" w:firstLineChars="200"/>
        <w:rPr>
          <w:rFonts w:hint="eastAsia" w:ascii="黑体" w:hAnsi="黑体" w:eastAsia="黑体" w:cstheme="minorEastAsia"/>
          <w:sz w:val="32"/>
          <w:szCs w:val="32"/>
          <w:lang w:eastAsia="zh-CN"/>
        </w:rPr>
      </w:pPr>
    </w:p>
    <w:p>
      <w:pPr>
        <w:ind w:firstLine="640" w:firstLineChars="200"/>
        <w:rPr>
          <w:rFonts w:hint="eastAsia" w:ascii="黑体" w:hAnsi="黑体" w:eastAsia="黑体" w:cstheme="minorEastAsia"/>
          <w:sz w:val="32"/>
          <w:szCs w:val="32"/>
          <w:lang w:eastAsia="zh-CN"/>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eastAsia="zh-CN"/>
        </w:rPr>
        <w:t>安全生产监督管理局</w:t>
      </w:r>
      <w:r>
        <w:rPr>
          <w:rFonts w:hint="eastAsia" w:ascii="黑体" w:hAnsi="黑体" w:eastAsia="黑体" w:cs="黑体"/>
          <w:b/>
          <w:bCs/>
          <w:sz w:val="32"/>
          <w:szCs w:val="32"/>
          <w:lang w:eastAsia="zh-CN"/>
        </w:rPr>
        <w:t>部门</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1、组织起草全县综合性安全生产地方规定、制度，拟定安全生产政策和规划，指导协调全县安全生产工作；分析和预测全县安全生产形势，发布全县安全生产信息，解决安全生产中的重大问题。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2、承担安全生产综合监督管理责任，依法行使综合监督管理职权，指导协调、监督检查县人民政府有关部门和各乡（镇）人民政府安全生产工作，监督考核并通报安全生产目标责任制执行情况。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3、承担非煤矿山（含地质勘探）、尾矿库、石油开采（含天然气开采）、危险化学品、烟花爆竹、民爆、化工（含石油化工厂）、医药、冶金、有色、建材、机械、轻工、纺织、烟草、商贸等行业生产经营单位安全生产监督管理责任，按层分级、属地原则，依法监督检查职责范围内的工矿商贸生产经营单位贯彻执行安全生产法律法规情况及其安全生产条件和有关设备（特种设备除外）、材料、劳动防护用品的安全生产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4、承担全县非煤矿山企业、尾矿库和危险化学品、烟花爆竹企业安全生产准入管理责任，依法实施安全准入例度；负责非煤矿山、危险化学品安全监督管理综合工作和烟花爆竹安全生产监督管理工作。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5、承担职责范围内的工矿商贸作业场所职业卫生监督检查责任，负责职业卫生安全许可的初审和监督管理工作，组织查处职业危害事故和违法违规行为。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6、贯彻执行国家及省、市、县关于工矿商贸行业安全生产法律法规、规章、标准和规程；监督检查职责范围内的工矿商贸生产经营单位重大危险源监控和重大事故隐患排查治理工作，依法查处不具备安全生产条件的工矿商贸生产经营单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7、综合管理全县生产安全伤亡事故和安全生产行政执法统计分析工作。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8、负责监督检查职责范围内的新建、改建、扩建工程项目的安全设施与主体同时设计、同时施工、同时投产使用情况；负责新建、改建、扩建项目立项前的安全评价工作。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9、协调指导特种作业人员（煤矿井下特种作业人员、特种设备作业人员除外）的考核工作；监督职责范围内的工矿商贸生产经管单位主要负责人、安全生产管理人员的安全资格考核工作；监督检查职责范围内的工矿商贸生产经营单位安全生产和职业安全健康培训工作；组织指导职责范围内一般从业人员安全培训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10、协调全县安全生产检测检验工作（煤矿除外），监督管理安全生产社会中介机构和安全评价工作，指导协调全县注册安全工程师、安全评价师执业资格申报管理工作。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11、组织拟定全县安全生产科技规划，指导协调安全生产重大科学技术研究和推广工作。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12、组织开展安全生产方面的国际、国内交流与合作。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13、县安监局挂县人民政府安全生产委员会办公室的牌子（以下简称县政府安委办），承担县人民政府安全生产委员会（以下简称县政府安委会）的日常工作。主要职责是：研究提出安全生产方针政策和重要措施的建议；监督检查、指导协调各乡（镇）和县直有关部门的安全生产工作；组织全县安全生产大检查和专项督查；参与研究有关部门在产业政策、资金投入、科技发展等工作中涉及安全生产的相关工作；研究拟定年度安全生产控制考核指标；负责全县安全生产各类事故的调查处理和办理结案工作，监督事故查处和责任追究落实情况；组织指挥重大安全事故应急教援工作；指导协调和监督全县安全生产行政执法工作，承办县政府安委会召开的会议和重要活动，督促、检查县政府安委会会议决定事项的贯彻落实情况；承担县政府安委会协调煤炭行业管理涉及安全生产方面的工作，督促检查各项工作和措施的落实情况；承办县人民政府与县直有关部门、各乡（镇）签订的安全生产目标责任书完成情况的考核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14、承办县人民政府、县政府安委会交办的其他事项。 </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5"/>
        <w:rPr>
          <w:rFonts w:hint="eastAsia" w:ascii="仿宋_GB2312" w:hAnsi="仿宋" w:eastAsia="仿宋_GB2312" w:cstheme="minorEastAsia"/>
          <w:color w:val="5B9BD5" w:themeColor="accent1"/>
          <w:sz w:val="32"/>
          <w:szCs w:val="32"/>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襄垣县安全生产监督管理局局机关内设10个职能股室、中心、职能股室、分别为：办公室、非煤股、危化股、综合监管一股、应急中心、执法大队、督查股、综合二股、财务室、法规股、煤。</w:t>
      </w: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下设安全生产监督执法大队、安全生产应急救援指挥中心、安全生产培训服务中心、3个事业单位。现有行政、事业编制32名，其中，行政编制 14名，事业编制 18名。实有11人，其中公务员4名，，事业人员7名。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5"/>
        <w:rPr>
          <w:rFonts w:hint="eastAsia" w:ascii="仿宋_GB2312" w:hAnsi="仿宋" w:eastAsia="仿宋_GB2312" w:cstheme="minorEastAsia"/>
          <w:color w:val="5B9BD5" w:themeColor="accent1"/>
          <w:sz w:val="32"/>
          <w:szCs w:val="32"/>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现有行政、事业编制32名，其中，行政编制 14名，事业编制 18名。实有11人，其中公务员4名，，事业人员7名。</w:t>
      </w:r>
    </w:p>
    <w:p>
      <w:pPr>
        <w:ind w:firstLine="645"/>
        <w:rPr>
          <w:rFonts w:hint="eastAsia" w:ascii="仿宋_GB2312" w:hAnsi="仿宋" w:eastAsia="仿宋_GB2312" w:cs="宋体"/>
          <w:color w:val="5B9BD5" w:themeColor="accent1"/>
          <w:kern w:val="0"/>
          <w:sz w:val="32"/>
          <w:szCs w:val="32"/>
          <w:lang w:eastAsia="zh-CN"/>
          <w14:textFill>
            <w14:solidFill>
              <w14:schemeClr w14:val="accent1"/>
            </w14:solidFill>
          </w14:textFill>
        </w:rPr>
      </w:pPr>
      <w:r>
        <w:rPr>
          <w:rFonts w:hint="eastAsia" w:ascii="仿宋" w:hAnsi="仿宋" w:eastAsia="仿宋" w:cs="仿宋_GB2312"/>
          <w:kern w:val="2"/>
          <w:sz w:val="32"/>
          <w:szCs w:val="32"/>
          <w:lang w:val="en-US" w:eastAsia="zh-CN" w:bidi="ar"/>
        </w:rPr>
        <w:t>（三）</w:t>
      </w:r>
      <w:r>
        <w:rPr>
          <w:rFonts w:hint="eastAsia" w:ascii="仿宋_GB2312" w:hAnsi="仿宋" w:eastAsia="仿宋_GB2312" w:cstheme="minorEastAsia"/>
          <w:color w:val="5B9BD5" w:themeColor="accent1"/>
          <w:sz w:val="32"/>
          <w:szCs w:val="32"/>
          <w14:textFill>
            <w14:solidFill>
              <w14:schemeClr w14:val="accent1"/>
            </w14:solidFill>
          </w14:textFill>
        </w:rPr>
        <w:t>本套部门决算汇编范围的单位共1个，包括：</w:t>
      </w:r>
      <w:r>
        <w:rPr>
          <w:rFonts w:hint="eastAsia" w:ascii="仿宋_GB2312" w:eastAsia="仿宋_GB2312"/>
          <w:color w:val="5B9BD5" w:themeColor="accent1"/>
          <w:sz w:val="32"/>
          <w:szCs w:val="32"/>
          <w:lang w:eastAsia="zh-CN"/>
          <w14:textFill>
            <w14:solidFill>
              <w14:schemeClr w14:val="accent1"/>
            </w14:solidFill>
          </w14:textFill>
        </w:rPr>
        <w:t>襄垣县应急管理局。</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5B9BD5" w:themeColor="accent1"/>
          <w:sz w:val="32"/>
          <w:szCs w:val="32"/>
          <w:lang w:val="en-US" w:eastAsia="zh-CN"/>
          <w14:textFill>
            <w14:solidFill>
              <w14:schemeClr w14:val="accent1"/>
            </w14:solidFill>
          </w14:textFill>
        </w:rPr>
        <w:t>281.31</w:t>
      </w:r>
      <w:r>
        <w:rPr>
          <w:rFonts w:hint="eastAsia" w:ascii="仿宋_GB2312" w:hAnsi="仿宋" w:eastAsia="仿宋_GB2312" w:cs="仿宋"/>
          <w:color w:val="5B9BD5" w:themeColor="accent1"/>
          <w:sz w:val="32"/>
          <w:szCs w:val="32"/>
          <w14:textFill>
            <w14:solidFill>
              <w14:schemeClr w14:val="accent1"/>
            </w14:solidFill>
          </w14:textFill>
        </w:rPr>
        <w:t>万元，其中年初结转和结余</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万元，较201</w:t>
      </w:r>
      <w:r>
        <w:rPr>
          <w:rFonts w:hint="eastAsia" w:ascii="仿宋_GB2312" w:hAnsi="仿宋" w:eastAsia="仿宋_GB2312" w:cs="仿宋"/>
          <w:color w:val="5B9BD5" w:themeColor="accent1"/>
          <w:sz w:val="32"/>
          <w:szCs w:val="32"/>
          <w:lang w:val="en-US" w:eastAsia="zh-CN"/>
          <w14:textFill>
            <w14:solidFill>
              <w14:schemeClr w14:val="accent1"/>
            </w14:solidFill>
          </w14:textFill>
        </w:rPr>
        <w:t>7</w:t>
      </w:r>
      <w:r>
        <w:rPr>
          <w:rFonts w:hint="eastAsia" w:ascii="仿宋_GB2312" w:hAnsi="仿宋" w:eastAsia="仿宋_GB2312" w:cs="仿宋"/>
          <w:color w:val="5B9BD5" w:themeColor="accent1"/>
          <w:sz w:val="32"/>
          <w:szCs w:val="32"/>
          <w14:textFill>
            <w14:solidFill>
              <w14:schemeClr w14:val="accent1"/>
            </w14:solidFill>
          </w14:textFill>
        </w:rPr>
        <w:t>年</w:t>
      </w:r>
      <w:r>
        <w:rPr>
          <w:rFonts w:hint="eastAsia" w:ascii="仿宋_GB2312" w:hAnsi="仿宋" w:eastAsia="仿宋_GB2312" w:cs="仿宋"/>
          <w:color w:val="5B9BD5" w:themeColor="accent1"/>
          <w:sz w:val="32"/>
          <w:szCs w:val="32"/>
          <w:lang w:eastAsia="zh-CN"/>
          <w14:textFill>
            <w14:solidFill>
              <w14:schemeClr w14:val="accent1"/>
            </w14:solidFill>
          </w14:textFill>
        </w:rPr>
        <w:t>增长</w:t>
      </w:r>
      <w:r>
        <w:rPr>
          <w:rFonts w:hint="eastAsia" w:ascii="仿宋_GB2312" w:hAnsi="仿宋" w:eastAsia="仿宋_GB2312" w:cs="仿宋"/>
          <w:color w:val="5B9BD5" w:themeColor="accent1"/>
          <w:sz w:val="32"/>
          <w:szCs w:val="32"/>
          <w:lang w:val="en-US" w:eastAsia="zh-CN"/>
          <w14:textFill>
            <w14:solidFill>
              <w14:schemeClr w14:val="accent1"/>
            </w14:solidFill>
          </w14:textFill>
        </w:rPr>
        <w:t>77.79</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eastAsia="zh-CN"/>
          <w14:textFill>
            <w14:solidFill>
              <w14:schemeClr w14:val="accent1"/>
            </w14:solidFill>
          </w14:textFill>
        </w:rPr>
        <w:t>减少</w:t>
      </w:r>
      <w:r>
        <w:rPr>
          <w:rFonts w:hint="eastAsia" w:ascii="仿宋_GB2312" w:hAnsi="仿宋" w:eastAsia="仿宋_GB2312" w:cs="仿宋"/>
          <w:color w:val="5B9BD5" w:themeColor="accent1"/>
          <w:sz w:val="32"/>
          <w:szCs w:val="32"/>
          <w:lang w:val="en-US" w:eastAsia="zh-CN"/>
          <w14:textFill>
            <w14:solidFill>
              <w14:schemeClr w14:val="accent1"/>
            </w14:solidFill>
          </w14:textFill>
        </w:rPr>
        <w:t>21.66</w:t>
      </w:r>
      <w:r>
        <w:rPr>
          <w:rFonts w:hint="eastAsia" w:ascii="仿宋_GB2312" w:hAnsi="仿宋" w:eastAsia="仿宋_GB2312" w:cs="仿宋"/>
          <w:color w:val="5B9BD5" w:themeColor="accent1"/>
          <w:sz w:val="32"/>
          <w:szCs w:val="32"/>
          <w14:textFill>
            <w14:solidFill>
              <w14:schemeClr w14:val="accent1"/>
            </w14:solidFill>
          </w14:textFill>
        </w:rPr>
        <w:t>%；本年收入合计</w:t>
      </w:r>
      <w:r>
        <w:rPr>
          <w:rFonts w:hint="eastAsia" w:ascii="仿宋_GB2312" w:hAnsi="仿宋" w:eastAsia="仿宋_GB2312" w:cs="仿宋"/>
          <w:color w:val="5B9BD5" w:themeColor="accent1"/>
          <w:sz w:val="32"/>
          <w:szCs w:val="32"/>
          <w:lang w:val="en-US" w:eastAsia="zh-CN"/>
          <w14:textFill>
            <w14:solidFill>
              <w14:schemeClr w14:val="accent1"/>
            </w14:solidFill>
          </w14:textFill>
        </w:rPr>
        <w:t>281.31</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auto"/>
          <w:sz w:val="32"/>
          <w:szCs w:val="32"/>
        </w:rPr>
        <w:t>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5B9BD5" w:themeColor="accent1"/>
          <w:sz w:val="32"/>
          <w:szCs w:val="32"/>
          <w:lang w:eastAsia="zh-CN"/>
          <w14:textFill>
            <w14:solidFill>
              <w14:schemeClr w14:val="accent1"/>
            </w14:solidFill>
          </w14:textFill>
        </w:rPr>
        <w:t>减少</w:t>
      </w:r>
      <w:r>
        <w:rPr>
          <w:rFonts w:hint="eastAsia" w:ascii="仿宋_GB2312" w:hAnsi="仿宋" w:eastAsia="仿宋_GB2312" w:cs="仿宋"/>
          <w:color w:val="5B9BD5" w:themeColor="accent1"/>
          <w:sz w:val="32"/>
          <w:szCs w:val="32"/>
          <w:lang w:val="en-US" w:eastAsia="zh-CN"/>
          <w14:textFill>
            <w14:solidFill>
              <w14:schemeClr w14:val="accent1"/>
            </w14:solidFill>
          </w14:textFill>
        </w:rPr>
        <w:t>77.79</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eastAsia="zh-CN"/>
          <w14:textFill>
            <w14:solidFill>
              <w14:schemeClr w14:val="accent1"/>
            </w14:solidFill>
          </w14:textFill>
        </w:rPr>
        <w:t>减少</w:t>
      </w:r>
      <w:r>
        <w:rPr>
          <w:rFonts w:hint="eastAsia" w:ascii="仿宋_GB2312" w:hAnsi="仿宋" w:eastAsia="仿宋_GB2312" w:cs="仿宋"/>
          <w:color w:val="5B9BD5" w:themeColor="accent1"/>
          <w:sz w:val="32"/>
          <w:szCs w:val="32"/>
          <w:lang w:val="en-US" w:eastAsia="zh-CN"/>
          <w14:textFill>
            <w14:solidFill>
              <w14:schemeClr w14:val="accent1"/>
            </w14:solidFill>
          </w14:textFill>
        </w:rPr>
        <w:t>21.66</w:t>
      </w:r>
      <w:r>
        <w:rPr>
          <w:rFonts w:hint="eastAsia" w:ascii="仿宋_GB2312" w:hAnsi="仿宋" w:eastAsia="仿宋_GB2312" w:cs="仿宋"/>
          <w:color w:val="5B9BD5" w:themeColor="accent1"/>
          <w:sz w:val="32"/>
          <w:szCs w:val="32"/>
          <w14:textFill>
            <w14:solidFill>
              <w14:schemeClr w14:val="accent1"/>
            </w14:solidFill>
          </w14:textFill>
        </w:rPr>
        <w:t>%，主要原因是：</w:t>
      </w:r>
      <w:r>
        <w:rPr>
          <w:rFonts w:hint="eastAsia" w:ascii="仿宋_GB2312" w:hAnsi="仿宋" w:eastAsia="仿宋_GB2312" w:cs="仿宋"/>
          <w:color w:val="5B9BD5" w:themeColor="accent1"/>
          <w:sz w:val="32"/>
          <w:szCs w:val="32"/>
          <w:lang w:val="en-US" w:eastAsia="zh-CN"/>
          <w14:textFill>
            <w14:solidFill>
              <w14:schemeClr w14:val="accent1"/>
            </w14:solidFill>
          </w14:textFill>
        </w:rPr>
        <w:t>八项规定以来，严格控制各项经费支出</w:t>
      </w:r>
      <w:r>
        <w:rPr>
          <w:rFonts w:hint="eastAsia" w:ascii="仿宋_GB2312" w:hAnsi="仿宋" w:eastAsia="仿宋_GB2312" w:cs="仿宋"/>
          <w:color w:val="5B9BD5" w:themeColor="accent1"/>
          <w:sz w:val="32"/>
          <w:szCs w:val="32"/>
          <w14:textFill>
            <w14:solidFill>
              <w14:schemeClr w14:val="accent1"/>
            </w14:solidFill>
          </w14:textFill>
        </w:rPr>
        <w:t>。</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281.31</w:t>
      </w:r>
      <w:r>
        <w:rPr>
          <w:rFonts w:hint="eastAsia" w:ascii="仿宋_GB2312" w:hAnsi="仿宋" w:eastAsia="仿宋_GB2312" w:cs="仿宋"/>
          <w:color w:val="5B9BD5" w:themeColor="accent1"/>
          <w:sz w:val="32"/>
          <w:szCs w:val="32"/>
          <w14:textFill>
            <w14:solidFill>
              <w14:schemeClr w14:val="accent1"/>
            </w14:solidFill>
          </w14:textFill>
        </w:rPr>
        <w:t>万元，占</w:t>
      </w:r>
      <w:r>
        <w:rPr>
          <w:rFonts w:hint="eastAsia" w:ascii="仿宋_GB2312" w:hAnsi="仿宋" w:eastAsia="仿宋_GB2312" w:cs="仿宋"/>
          <w:color w:val="5B9BD5" w:themeColor="accent1"/>
          <w:sz w:val="32"/>
          <w:szCs w:val="32"/>
          <w:lang w:val="en-US" w:eastAsia="zh-CN"/>
          <w14:textFill>
            <w14:solidFill>
              <w14:schemeClr w14:val="accent1"/>
            </w14:solidFill>
          </w14:textFill>
        </w:rPr>
        <w:t>100</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hAnsi="仿宋" w:eastAsia="仿宋_GB2312" w:cs="仿宋"/>
          <w:color w:val="auto"/>
          <w:sz w:val="32"/>
          <w:szCs w:val="32"/>
        </w:rPr>
        <w:t>其他收入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年度支出总计</w:t>
      </w:r>
      <w:r>
        <w:rPr>
          <w:rFonts w:hint="eastAsia" w:ascii="仿宋_GB2312" w:hAnsi="仿宋" w:eastAsia="仿宋_GB2312" w:cs="仿宋"/>
          <w:color w:val="5B9BD5" w:themeColor="accent1"/>
          <w:sz w:val="32"/>
          <w:szCs w:val="32"/>
          <w:lang w:val="en-US" w:eastAsia="zh-CN"/>
          <w14:textFill>
            <w14:solidFill>
              <w14:schemeClr w14:val="accent1"/>
            </w14:solidFill>
          </w14:textFill>
        </w:rPr>
        <w:t>281.3</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其中本年支出合计</w:t>
      </w:r>
      <w:r>
        <w:rPr>
          <w:rFonts w:hint="eastAsia" w:ascii="仿宋_GB2312" w:hAnsi="仿宋" w:eastAsia="仿宋_GB2312" w:cs="仿宋"/>
          <w:color w:val="5B9BD5" w:themeColor="accent1"/>
          <w:sz w:val="32"/>
          <w:szCs w:val="32"/>
          <w:lang w:val="en-US" w:eastAsia="zh-CN"/>
          <w14:textFill>
            <w14:solidFill>
              <w14:schemeClr w14:val="accent1"/>
            </w14:solidFill>
          </w14:textFill>
        </w:rPr>
        <w:t>281.3</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77.79</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eastAsia="zh-CN"/>
          <w14:textFill>
            <w14:solidFill>
              <w14:schemeClr w14:val="accent1"/>
            </w14:solidFill>
          </w14:textFill>
        </w:rPr>
        <w:t>减少</w:t>
      </w:r>
      <w:r>
        <w:rPr>
          <w:rFonts w:hint="eastAsia" w:ascii="仿宋_GB2312" w:hAnsi="仿宋" w:eastAsia="仿宋_GB2312" w:cs="仿宋"/>
          <w:color w:val="5B9BD5" w:themeColor="accent1"/>
          <w:sz w:val="32"/>
          <w:szCs w:val="32"/>
          <w:lang w:val="en-US" w:eastAsia="zh-CN"/>
          <w14:textFill>
            <w14:solidFill>
              <w14:schemeClr w14:val="accent1"/>
            </w14:solidFill>
          </w14:textFill>
        </w:rPr>
        <w:t>21.66</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hAnsi="仿宋" w:eastAsia="仿宋_GB2312" w:cs="仿宋"/>
          <w:color w:val="5B9BD5" w:themeColor="accent1"/>
          <w:sz w:val="32"/>
          <w:szCs w:val="32"/>
          <w:lang w:val="en-US" w:eastAsia="zh-CN"/>
          <w14:textFill>
            <w14:solidFill>
              <w14:schemeClr w14:val="accent1"/>
            </w14:solidFill>
          </w14:textFill>
        </w:rPr>
        <w:t>八项规定以来，严格控制各项经费支出</w:t>
      </w:r>
      <w:r>
        <w:rPr>
          <w:rFonts w:hint="eastAsia" w:ascii="仿宋_GB2312" w:hAnsi="仿宋" w:eastAsia="仿宋_GB2312" w:cs="仿宋"/>
          <w:color w:val="5B9BD5" w:themeColor="accent1"/>
          <w:sz w:val="32"/>
          <w:szCs w:val="32"/>
          <w14:textFill>
            <w14:solidFill>
              <w14:schemeClr w14:val="accent1"/>
            </w14:solidFill>
          </w14:textFill>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220.75</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78.47</w:t>
      </w:r>
      <w:r>
        <w:rPr>
          <w:rFonts w:hint="eastAsia" w:ascii="仿宋_GB2312" w:eastAsia="仿宋_GB2312" w:hAnsiTheme="minorEastAsia" w:cstheme="minorEastAsia"/>
          <w:color w:val="5B9BD5" w:themeColor="accent1"/>
          <w:sz w:val="32"/>
          <w:szCs w:val="32"/>
          <w14:textFill>
            <w14:solidFill>
              <w14:schemeClr w14:val="accent1"/>
            </w14:solidFill>
          </w14:textFill>
        </w:rPr>
        <w:t>%；项目支出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60.55</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21.52</w:t>
      </w:r>
      <w:r>
        <w:rPr>
          <w:rFonts w:hint="eastAsia" w:ascii="仿宋_GB2312" w:eastAsia="仿宋_GB2312" w:hAnsiTheme="minorEastAsia" w:cstheme="minorEastAsia"/>
          <w:color w:val="5B9BD5" w:themeColor="accent1"/>
          <w:sz w:val="32"/>
          <w:szCs w:val="32"/>
          <w14:textFill>
            <w14:solidFill>
              <w14:schemeClr w14:val="accent1"/>
            </w14:solidFill>
          </w14:textFill>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413.89</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281.3</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万元，完成年初预算的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67.96</w:t>
      </w:r>
      <w:r>
        <w:rPr>
          <w:rFonts w:hint="eastAsia" w:ascii="仿宋_GB2312" w:eastAsia="仿宋_GB2312" w:hAnsiTheme="minorEastAsia" w:cstheme="minorEastAsia"/>
          <w:color w:val="5B9BD5" w:themeColor="accent1"/>
          <w:sz w:val="32"/>
          <w:szCs w:val="32"/>
          <w14:textFill>
            <w14:solidFill>
              <w14:schemeClr w14:val="accent1"/>
            </w14:solidFill>
          </w14:textFill>
        </w:rPr>
        <w:t>%。其中：</w:t>
      </w:r>
      <w:r>
        <w:rPr>
          <w:rFonts w:hint="eastAsia" w:ascii="仿宋_GB2312" w:eastAsia="仿宋_GB2312" w:hAnsiTheme="minorEastAsia" w:cstheme="minorEastAsia"/>
          <w:color w:val="auto"/>
          <w:sz w:val="32"/>
          <w:szCs w:val="32"/>
        </w:rPr>
        <w:t>一般公共服务支出年初预算数为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413.89</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281.3</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万元，完成年初预算的 </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750.66</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hAnsi="仿宋" w:eastAsia="仿宋_GB2312" w:cs="仿宋"/>
          <w:color w:val="5B9BD5" w:themeColor="accent1"/>
          <w:sz w:val="32"/>
          <w:szCs w:val="32"/>
          <w:lang w:val="en-US" w:eastAsia="zh-CN"/>
          <w14:textFill>
            <w14:solidFill>
              <w14:schemeClr w14:val="accent1"/>
            </w14:solidFill>
          </w14:textFill>
        </w:rPr>
        <w:t>八项规定以来，严格控制各项经费支出</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281.3</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sz w:val="32"/>
          <w:szCs w:val="32"/>
        </w:rPr>
        <w:t>，其中：</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220.75</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12.68</w:t>
      </w:r>
      <w:r>
        <w:rPr>
          <w:rFonts w:hint="eastAsia" w:ascii="仿宋_GB2312" w:eastAsia="仿宋_GB2312" w:hAnsiTheme="minorEastAsia" w:cstheme="minorEastAsia"/>
          <w:color w:val="5B9BD5" w:themeColor="accent1"/>
          <w:sz w:val="32"/>
          <w:szCs w:val="32"/>
          <w14:textFill>
            <w14:solidFill>
              <w14:schemeClr w14:val="accent1"/>
            </w14:solidFill>
          </w14:textFill>
        </w:rPr>
        <w:t>万元，增长</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5.7</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人员</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工资社保增加</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eastAsia" w:ascii="仿宋_GB2312" w:hAnsi="仿宋" w:eastAsia="仿宋_GB2312" w:cs="仿宋"/>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220.75</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271.53</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增长</w:t>
      </w:r>
      <w:r>
        <w:rPr>
          <w:rFonts w:hint="eastAsia" w:ascii="仿宋_GB2312" w:eastAsia="仿宋_GB2312" w:hAnsiTheme="minorEastAsia" w:cstheme="minorEastAsia"/>
          <w:color w:val="5B9BD5" w:themeColor="accent1"/>
          <w:sz w:val="32"/>
          <w:szCs w:val="32"/>
          <w14:textFill>
            <w14:solidFill>
              <w14:schemeClr w14:val="accent1"/>
            </w14:solidFill>
          </w14:textFill>
        </w:rPr>
        <w:t>5</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54</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hAnsi="仿宋" w:eastAsia="仿宋_GB2312" w:cs="仿宋"/>
          <w:color w:val="5B9BD5" w:themeColor="accent1"/>
          <w:sz w:val="32"/>
          <w:szCs w:val="32"/>
          <w:lang w:val="en-US" w:eastAsia="zh-CN"/>
          <w14:textFill>
            <w14:solidFill>
              <w14:schemeClr w14:val="accent1"/>
            </w14:solidFill>
          </w14:textFill>
        </w:rPr>
        <w:t>八项规定以来，严格控制各项经费支出</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（三）对个人和家庭补助支出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0.3</w:t>
      </w:r>
      <w:r>
        <w:rPr>
          <w:rFonts w:hint="eastAsia" w:ascii="仿宋_GB2312" w:eastAsia="仿宋_GB2312" w:hAnsiTheme="minorEastAsia" w:cstheme="minorEastAsia"/>
          <w:color w:val="5B9BD5" w:themeColor="accent1"/>
          <w:sz w:val="32"/>
          <w:szCs w:val="32"/>
          <w14:textFill>
            <w14:solidFill>
              <w14:schemeClr w14:val="accent1"/>
            </w14:solidFill>
          </w14:textFill>
        </w:rPr>
        <w:t>万元，，主要原因是：</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增加独生子女费</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eastAsia"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5B9BD5" w:themeColor="accent1"/>
          <w:sz w:val="32"/>
          <w:szCs w:val="32"/>
          <w14:textFill>
            <w14:solidFill>
              <w14:schemeClr w14:val="accent1"/>
            </w14:solidFill>
          </w14:textFill>
        </w:rPr>
        <w:t>本部门201</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8</w:t>
      </w:r>
      <w:r>
        <w:rPr>
          <w:rFonts w:hint="eastAsia" w:ascii="仿宋_GB2312" w:eastAsia="仿宋_GB2312" w:hAnsiTheme="minorEastAsia" w:cstheme="minorEastAsia"/>
          <w:color w:val="5B9BD5" w:themeColor="accent1"/>
          <w:sz w:val="32"/>
          <w:szCs w:val="32"/>
          <w14:textFill>
            <w14:solidFill>
              <w14:schemeClr w14:val="accent1"/>
            </w14:solidFill>
          </w14:textFill>
        </w:rPr>
        <w:t>年度一般公共预算财政拨款“三公”经费支出年初预算数为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万元，其中公务用车购置年初预算数为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万元，增长（下降）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%；公务用车运行维护费支出年初预算数为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5.9</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100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5.9</w:t>
      </w:r>
      <w:r>
        <w:rPr>
          <w:rFonts w:hint="eastAsia" w:ascii="仿宋_GB2312" w:eastAsia="仿宋_GB2312" w:hAnsiTheme="minorEastAsia" w:cstheme="minorEastAsia"/>
          <w:sz w:val="32"/>
          <w:szCs w:val="32"/>
        </w:rPr>
        <w:t>万元，增长（下降）</w:t>
      </w:r>
      <w:r>
        <w:rPr>
          <w:rFonts w:hint="eastAsia" w:ascii="仿宋_GB2312" w:eastAsia="仿宋_GB2312" w:hAnsiTheme="minorEastAsia" w:cstheme="minorEastAsia"/>
          <w:sz w:val="32"/>
          <w:szCs w:val="32"/>
          <w:lang w:val="en-US" w:eastAsia="zh-CN"/>
        </w:rPr>
        <w:t>100</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，公务用车保有量</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年度政府采购支出</w:t>
      </w:r>
      <w:r>
        <w:rPr>
          <w:rFonts w:hint="eastAsia" w:ascii="仿宋_GB2312" w:eastAsia="仿宋_GB2312" w:hAnsiTheme="minorEastAsia" w:cstheme="minorEastAsia"/>
          <w:color w:val="5B9BD5" w:themeColor="accent1"/>
          <w:sz w:val="32"/>
          <w:szCs w:val="32"/>
          <w14:textFill>
            <w14:solidFill>
              <w14:schemeClr w14:val="accent1"/>
            </w14:solidFill>
          </w14:textFill>
        </w:rPr>
        <w:t>总额</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万元，其中：政府采购货物支出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万元、政府采购工程支出0万元、政府采购服务支出0万元。授予中小企业合同金额0万元，占政府采购支出总额的0%。</w:t>
      </w:r>
    </w:p>
    <w:p>
      <w:pPr>
        <w:ind w:firstLine="640" w:firstLineChars="200"/>
        <w:rPr>
          <w:rFonts w:ascii="仿宋_GB2312" w:hAnsi="仿宋" w:eastAsia="仿宋_GB2312" w:cstheme="minorEastAsia"/>
          <w:color w:val="5B9BD5" w:themeColor="accent1"/>
          <w:sz w:val="32"/>
          <w:szCs w:val="32"/>
          <w14:textFill>
            <w14:solidFill>
              <w14:schemeClr w14:val="accent1"/>
            </w14:solidFill>
          </w14:textFill>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w:t>
      </w:r>
      <w:r>
        <w:rPr>
          <w:rFonts w:hint="eastAsia" w:ascii="仿宋_GB2312" w:hAnsi="仿宋" w:eastAsia="仿宋_GB2312" w:cstheme="minorEastAsia"/>
          <w:color w:val="5B9BD5" w:themeColor="accent1"/>
          <w:sz w:val="32"/>
          <w:szCs w:val="32"/>
          <w14:textFill>
            <w14:solidFill>
              <w14:schemeClr w14:val="accent1"/>
            </w14:solidFill>
          </w14:textFill>
        </w:rPr>
        <w:t>支出</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8.3</w:t>
      </w:r>
      <w:r>
        <w:rPr>
          <w:rFonts w:hint="eastAsia" w:ascii="仿宋_GB2312" w:hAnsi="仿宋" w:eastAsia="仿宋_GB2312" w:cstheme="minorEastAsia"/>
          <w:color w:val="5B9BD5" w:themeColor="accent1"/>
          <w:sz w:val="32"/>
          <w:szCs w:val="32"/>
          <w14:textFill>
            <w14:solidFill>
              <w14:schemeClr w14:val="accent1"/>
            </w14:solidFill>
          </w14:textFill>
        </w:rPr>
        <w:t>万元，</w:t>
      </w:r>
      <w:r>
        <w:rPr>
          <w:rFonts w:hint="eastAsia" w:ascii="仿宋_GB2312" w:hAnsi="仿宋" w:eastAsia="仿宋_GB2312" w:cstheme="minorEastAsia"/>
          <w:color w:val="auto"/>
          <w:sz w:val="32"/>
          <w:szCs w:val="32"/>
        </w:rPr>
        <w:t>较201</w:t>
      </w:r>
      <w:r>
        <w:rPr>
          <w:rFonts w:hint="eastAsia" w:ascii="仿宋_GB2312" w:hAnsi="仿宋" w:eastAsia="仿宋_GB2312" w:cstheme="minorEastAsia"/>
          <w:color w:val="auto"/>
          <w:sz w:val="32"/>
          <w:szCs w:val="32"/>
          <w:lang w:val="en-US" w:eastAsia="zh-CN"/>
        </w:rPr>
        <w:t>7</w:t>
      </w:r>
      <w:r>
        <w:rPr>
          <w:rFonts w:hint="eastAsia" w:ascii="仿宋_GB2312" w:hAnsi="仿宋" w:eastAsia="仿宋_GB2312" w:cstheme="minorEastAsia"/>
          <w:color w:val="auto"/>
          <w:sz w:val="32"/>
          <w:szCs w:val="32"/>
        </w:rPr>
        <w:t>年</w:t>
      </w:r>
      <w:r>
        <w:rPr>
          <w:rFonts w:hint="eastAsia" w:ascii="仿宋_GB2312" w:hAnsi="仿宋" w:eastAsia="仿宋_GB2312" w:cstheme="minorEastAsia"/>
          <w:color w:val="5B9BD5" w:themeColor="accent1"/>
          <w:sz w:val="32"/>
          <w:szCs w:val="32"/>
          <w:lang w:eastAsia="zh-CN"/>
          <w14:textFill>
            <w14:solidFill>
              <w14:schemeClr w14:val="accent1"/>
            </w14:solidFill>
          </w14:textFill>
        </w:rPr>
        <w:t>增长</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0.7</w:t>
      </w:r>
      <w:r>
        <w:rPr>
          <w:rFonts w:hint="eastAsia" w:ascii="仿宋_GB2312" w:hAnsi="仿宋" w:eastAsia="仿宋_GB2312" w:cstheme="minorEastAsia"/>
          <w:color w:val="5B9BD5" w:themeColor="accent1"/>
          <w:sz w:val="32"/>
          <w:szCs w:val="32"/>
          <w14:textFill>
            <w14:solidFill>
              <w14:schemeClr w14:val="accent1"/>
            </w14:solidFill>
          </w14:textFill>
        </w:rPr>
        <w:t>万元，</w:t>
      </w:r>
      <w:r>
        <w:rPr>
          <w:rFonts w:hint="eastAsia" w:ascii="仿宋_GB2312" w:hAnsi="仿宋" w:eastAsia="仿宋_GB2312" w:cstheme="minorEastAsia"/>
          <w:color w:val="5B9BD5" w:themeColor="accent1"/>
          <w:sz w:val="32"/>
          <w:szCs w:val="32"/>
          <w:lang w:eastAsia="zh-CN"/>
          <w14:textFill>
            <w14:solidFill>
              <w14:schemeClr w14:val="accent1"/>
            </w14:solidFill>
          </w14:textFill>
        </w:rPr>
        <w:t>增加</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8.4</w:t>
      </w:r>
      <w:r>
        <w:rPr>
          <w:rFonts w:hint="eastAsia" w:ascii="仿宋_GB2312" w:hAnsi="仿宋" w:eastAsia="仿宋_GB2312" w:cstheme="minorEastAsia"/>
          <w:color w:val="5B9BD5" w:themeColor="accent1"/>
          <w:sz w:val="32"/>
          <w:szCs w:val="32"/>
          <w14:textFill>
            <w14:solidFill>
              <w14:schemeClr w14:val="accent1"/>
            </w14:solidFill>
          </w14:textFill>
        </w:rPr>
        <w:t>%，主要原因是：</w:t>
      </w:r>
      <w:r>
        <w:rPr>
          <w:rFonts w:hint="eastAsia" w:ascii="仿宋_GB2312" w:hAnsi="仿宋" w:eastAsia="仿宋_GB2312" w:cstheme="minorEastAsia"/>
          <w:color w:val="5B9BD5" w:themeColor="accent1"/>
          <w:sz w:val="32"/>
          <w:szCs w:val="32"/>
          <w:lang w:eastAsia="zh-CN"/>
          <w14:textFill>
            <w14:solidFill>
              <w14:schemeClr w14:val="accent1"/>
            </w14:solidFill>
          </w14:textFill>
        </w:rPr>
        <w:t>工作任务增加</w:t>
      </w:r>
      <w:r>
        <w:rPr>
          <w:rFonts w:hint="eastAsia" w:ascii="仿宋_GB2312" w:hAnsi="仿宋" w:eastAsia="仿宋_GB2312" w:cstheme="minorEastAsia"/>
          <w:color w:val="5B9BD5" w:themeColor="accent1"/>
          <w:sz w:val="32"/>
          <w:szCs w:val="32"/>
          <w14:textFill>
            <w14:solidFill>
              <w14:schemeClr w14:val="accent1"/>
            </w14:solidFill>
          </w14:textFill>
        </w:rPr>
        <w:t xml:space="preserve">。 </w:t>
      </w:r>
    </w:p>
    <w:p>
      <w:pPr>
        <w:ind w:firstLine="640" w:firstLineChars="200"/>
        <w:rPr>
          <w:rFonts w:hint="default" w:ascii="楷体" w:hAnsi="楷体" w:eastAsia="楷体" w:cstheme="minorEastAsia"/>
          <w:b/>
          <w:color w:val="FF0000"/>
          <w:sz w:val="32"/>
          <w:szCs w:val="32"/>
          <w:lang w:val="en-US" w:eastAsia="zh-CN"/>
        </w:rPr>
      </w:pPr>
      <w:r>
        <w:rPr>
          <w:rStyle w:val="6"/>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Style w:val="6"/>
          <w:rFonts w:hint="eastAsia" w:ascii="仿宋_GB2312" w:hAnsi="楷体" w:eastAsia="仿宋_GB2312" w:cs="宋体"/>
          <w:b w:val="0"/>
          <w:color w:val="5B9BD5" w:themeColor="accent1"/>
          <w:sz w:val="32"/>
          <w:szCs w:val="32"/>
          <w14:textFill>
            <w14:solidFill>
              <w14:schemeClr w14:val="accent1"/>
            </w14:solidFill>
          </w14:textFill>
        </w:rPr>
      </w:pPr>
      <w:r>
        <w:rPr>
          <w:rStyle w:val="6"/>
          <w:rFonts w:hint="eastAsia" w:ascii="仿宋_GB2312" w:hAnsi="楷体" w:eastAsia="仿宋_GB2312" w:cs="宋体"/>
          <w:b w:val="0"/>
          <w:color w:val="5B9BD5" w:themeColor="accent1"/>
          <w:sz w:val="32"/>
          <w:szCs w:val="32"/>
          <w14:textFill>
            <w14:solidFill>
              <w14:schemeClr w14:val="accent1"/>
            </w14:solidFill>
          </w14:textFill>
        </w:rPr>
        <w:t>本部门共有车辆数合计</w:t>
      </w:r>
      <w:r>
        <w:rPr>
          <w:rStyle w:val="6"/>
          <w:rFonts w:hint="eastAsia" w:ascii="仿宋_GB2312" w:hAnsi="楷体" w:eastAsia="仿宋_GB2312" w:cs="宋体"/>
          <w:b w:val="0"/>
          <w:color w:val="5B9BD5" w:themeColor="accent1"/>
          <w:sz w:val="32"/>
          <w:szCs w:val="32"/>
          <w:lang w:val="en-US" w:eastAsia="zh-CN"/>
          <w14:textFill>
            <w14:solidFill>
              <w14:schemeClr w14:val="accent1"/>
            </w14:solidFill>
          </w14:textFill>
        </w:rPr>
        <w:t>12</w:t>
      </w:r>
      <w:bookmarkStart w:id="0" w:name="_GoBack"/>
      <w:bookmarkEnd w:id="0"/>
      <w:r>
        <w:rPr>
          <w:rStyle w:val="6"/>
          <w:rFonts w:hint="eastAsia" w:ascii="仿宋_GB2312" w:hAnsi="楷体" w:eastAsia="仿宋_GB2312" w:cs="宋体"/>
          <w:b w:val="0"/>
          <w:color w:val="5B9BD5" w:themeColor="accent1"/>
          <w:sz w:val="32"/>
          <w:szCs w:val="32"/>
          <w14:textFill>
            <w14:solidFill>
              <w14:schemeClr w14:val="accent1"/>
            </w14:solidFill>
          </w14:textFill>
        </w:rPr>
        <w:t>辆。；单价50万元以上通用设备0台/套，共计0元；单价100万元以上专用设备0台/套，0元。</w:t>
      </w:r>
    </w:p>
    <w:p>
      <w:pPr>
        <w:ind w:firstLine="640" w:firstLineChars="200"/>
        <w:rPr>
          <w:rStyle w:val="6"/>
          <w:rFonts w:hint="eastAsia" w:ascii="楷体" w:hAnsi="楷体" w:eastAsia="楷体" w:cs="宋体"/>
          <w:b w:val="0"/>
          <w:bCs/>
          <w:color w:val="333333"/>
          <w:kern w:val="0"/>
          <w:sz w:val="32"/>
          <w:szCs w:val="32"/>
          <w:lang w:val="en-US" w:eastAsia="zh-CN" w:bidi="ar-SA"/>
        </w:rPr>
      </w:pPr>
      <w:r>
        <w:rPr>
          <w:rStyle w:val="6"/>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Style w:val="6"/>
          <w:rFonts w:hint="eastAsia" w:ascii="仿宋_GB2312" w:hAnsi="楷体" w:eastAsia="仿宋_GB2312" w:cs="宋体"/>
          <w:b w:val="0"/>
          <w:color w:val="333333"/>
          <w:sz w:val="32"/>
          <w:szCs w:val="32"/>
          <w:lang w:eastAsia="zh-CN"/>
        </w:rPr>
      </w:pPr>
      <w:r>
        <w:rPr>
          <w:rStyle w:val="6"/>
          <w:rFonts w:hint="eastAsia" w:ascii="仿宋_GB2312" w:hAnsi="楷体" w:eastAsia="仿宋_GB2312" w:cs="宋体"/>
          <w:b w:val="0"/>
          <w:color w:val="5B9BD5" w:themeColor="accent1"/>
          <w:sz w:val="32"/>
          <w:szCs w:val="32"/>
          <w:lang w:eastAsia="zh-CN"/>
          <w14:textFill>
            <w14:solidFill>
              <w14:schemeClr w14:val="accent1"/>
            </w14:solidFill>
          </w14:textFill>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C5A5250"/>
    <w:rsid w:val="0C64513E"/>
    <w:rsid w:val="0DE649EC"/>
    <w:rsid w:val="0EE25EB1"/>
    <w:rsid w:val="10CB3E8D"/>
    <w:rsid w:val="12822BDE"/>
    <w:rsid w:val="1B4A6025"/>
    <w:rsid w:val="1E107510"/>
    <w:rsid w:val="209E0EC3"/>
    <w:rsid w:val="22140CC1"/>
    <w:rsid w:val="2A937DAC"/>
    <w:rsid w:val="2DB60033"/>
    <w:rsid w:val="2F754CA8"/>
    <w:rsid w:val="341824CB"/>
    <w:rsid w:val="343F3937"/>
    <w:rsid w:val="34D53928"/>
    <w:rsid w:val="366A4120"/>
    <w:rsid w:val="37015ED3"/>
    <w:rsid w:val="3F5C42DA"/>
    <w:rsid w:val="439E0B82"/>
    <w:rsid w:val="43E475B8"/>
    <w:rsid w:val="458B37F5"/>
    <w:rsid w:val="48832669"/>
    <w:rsid w:val="48E87EB6"/>
    <w:rsid w:val="4A4F3891"/>
    <w:rsid w:val="4D9B3CEE"/>
    <w:rsid w:val="52567629"/>
    <w:rsid w:val="57E44DA5"/>
    <w:rsid w:val="582B68F4"/>
    <w:rsid w:val="5D083F24"/>
    <w:rsid w:val="60860A87"/>
    <w:rsid w:val="60B46440"/>
    <w:rsid w:val="635C762A"/>
    <w:rsid w:val="6BEF31EA"/>
    <w:rsid w:val="71FC58C7"/>
    <w:rsid w:val="7C7014AB"/>
    <w:rsid w:val="7D69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4</TotalTime>
  <ScaleCrop>false</ScaleCrop>
  <LinksUpToDate>false</LinksUpToDate>
  <CharactersWithSpaces>3878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未定义</cp:lastModifiedBy>
  <cp:lastPrinted>2019-09-11T06:01:00Z</cp:lastPrinted>
  <dcterms:modified xsi:type="dcterms:W3CDTF">2021-05-25T22:45:13Z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0D176E57FBE64624AC371C8B9CA01381</vt:lpwstr>
  </property>
</Properties>
</file>