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应急预案专项重点检查安排表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352"/>
        <w:gridCol w:w="1425"/>
        <w:gridCol w:w="165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行业类型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襄垣县晟鑫源建材有限公司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非煤矿山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应急指挥中心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襄垣县瑞隆建材有限公司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非煤建材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长治华新液化天然气有限公司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危化生产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襄垣县恒达通加油站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危化经营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襄垣县鸿腾洗选煤有限公司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洗选煤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山西潞安机械有限责任公司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机械制造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山西襄矿西故县煤业有限公司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煤矿生产</w:t>
            </w: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专项检查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5C9930D4"/>
    <w:rsid w:val="5C9930D4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uiPriority w:val="0"/>
    <w:rPr>
      <w:rFonts w:ascii="Calibri" w:hAnsi="Calibri"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2023-04-04T08:22:00Z</dcterms:created>
  <dc:creator>风陵渡</dc:creator>
  <cp:lastModifiedBy>风陵渡</cp:lastModifiedBy>
  <dcterms:modified xsi:type="dcterms:W3CDTF">2023-04-04T08:36:35Z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B728622BB3FE4B728CDD81CA05120899</vt:lpwstr>
  </property>
</Properties>
</file>