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360"/>
        <w:gridCol w:w="2992"/>
        <w:gridCol w:w="468"/>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920" w:type="dxa"/>
            <w:gridSpan w:val="2"/>
            <w:tcBorders>
              <w:top w:val="nil"/>
              <w:left w:val="nil"/>
              <w:bottom w:val="nil"/>
              <w:right w:val="nil"/>
            </w:tcBorders>
            <w:noWrap w:val="0"/>
            <w:vAlign w:val="center"/>
          </w:tcPr>
          <w:p>
            <w:pPr>
              <w:widowControl/>
              <w:jc w:val="left"/>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2</w:t>
            </w:r>
          </w:p>
        </w:tc>
        <w:tc>
          <w:tcPr>
            <w:tcW w:w="3460" w:type="dxa"/>
            <w:gridSpan w:val="2"/>
            <w:tcBorders>
              <w:top w:val="nil"/>
              <w:left w:val="nil"/>
              <w:bottom w:val="nil"/>
              <w:right w:val="nil"/>
            </w:tcBorders>
            <w:noWrap w:val="0"/>
            <w:vAlign w:val="center"/>
          </w:tcPr>
          <w:p>
            <w:pPr>
              <w:widowControl/>
              <w:jc w:val="center"/>
              <w:rPr>
                <w:rFonts w:hint="eastAsia" w:ascii="Times New Roman" w:hAnsi="Times New Roman" w:eastAsia="宋体" w:cs="Times New Roman"/>
                <w:color w:val="000000"/>
                <w:kern w:val="0"/>
                <w:sz w:val="24"/>
              </w:rPr>
            </w:pPr>
          </w:p>
        </w:tc>
        <w:tc>
          <w:tcPr>
            <w:tcW w:w="1228" w:type="dxa"/>
            <w:tcBorders>
              <w:top w:val="nil"/>
              <w:left w:val="nil"/>
              <w:bottom w:val="nil"/>
              <w:right w:val="nil"/>
            </w:tcBorders>
            <w:noWrap w:val="0"/>
            <w:vAlign w:val="center"/>
          </w:tcPr>
          <w:p>
            <w:pPr>
              <w:widowControl/>
              <w:jc w:val="center"/>
              <w:rPr>
                <w:rFonts w:hint="eastAsia"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608" w:type="dxa"/>
            <w:gridSpan w:val="5"/>
            <w:tcBorders>
              <w:top w:val="nil"/>
              <w:left w:val="nil"/>
              <w:right w:val="nil"/>
            </w:tcBorders>
            <w:noWrap w:val="0"/>
            <w:vAlign w:val="center"/>
          </w:tcPr>
          <w:p>
            <w:pPr>
              <w:widowControl/>
              <w:jc w:val="center"/>
              <w:rPr>
                <w:rFonts w:hint="eastAsia" w:ascii="Times New Roman" w:hAnsi="Times New Roman" w:eastAsia="宋体" w:cs="Times New Roman"/>
                <w:color w:val="000000"/>
                <w:kern w:val="0"/>
                <w:sz w:val="32"/>
                <w:szCs w:val="32"/>
              </w:rPr>
            </w:pPr>
            <w:bookmarkStart w:id="0" w:name="_GoBack"/>
            <w:r>
              <w:rPr>
                <w:rFonts w:hint="eastAsia" w:ascii="Times New Roman" w:hAnsi="Times New Roman" w:eastAsia="方正小标宋简体" w:cs="Times New Roman"/>
                <w:color w:val="000000"/>
                <w:kern w:val="0"/>
                <w:sz w:val="44"/>
                <w:szCs w:val="44"/>
              </w:rPr>
              <w:t>危险化学品企业监督检查安排表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4360"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生产经营单位</w:t>
            </w:r>
          </w:p>
        </w:tc>
        <w:tc>
          <w:tcPr>
            <w:tcW w:w="2992" w:type="dxa"/>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牵头单位</w:t>
            </w:r>
          </w:p>
        </w:tc>
        <w:tc>
          <w:tcPr>
            <w:tcW w:w="1696" w:type="dxa"/>
            <w:gridSpan w:val="2"/>
            <w:noWrap w:val="0"/>
            <w:vAlign w:val="center"/>
          </w:tcPr>
          <w:p>
            <w:pPr>
              <w:widowControl/>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4360" w:type="dxa"/>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襄垣县鸿达煤化有限公司</w:t>
            </w:r>
          </w:p>
        </w:tc>
        <w:tc>
          <w:tcPr>
            <w:tcW w:w="2992" w:type="dxa"/>
            <w:vMerge w:val="restart"/>
            <w:noWrap w:val="0"/>
            <w:vAlign w:val="center"/>
          </w:tcPr>
          <w:p>
            <w:pPr>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危险化学品安全监督管理股</w:t>
            </w:r>
          </w:p>
          <w:p>
            <w:pPr>
              <w:jc w:val="center"/>
              <w:rPr>
                <w:rFonts w:hint="eastAsia" w:ascii="仿宋_GB2312" w:hAnsi="仿宋_GB2312" w:eastAsia="仿宋_GB2312" w:cs="仿宋_GB2312"/>
                <w:color w:val="000000"/>
                <w:kern w:val="0"/>
                <w:sz w:val="24"/>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4360" w:type="dxa"/>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山西瑞恒化工有限公司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4360" w:type="dxa"/>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山西金烨焦化有限公司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4360"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山西潞安煤基清洁能源有限责任公司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5</w:t>
            </w:r>
          </w:p>
        </w:tc>
        <w:tc>
          <w:tcPr>
            <w:tcW w:w="43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长治华新液化天然气有限公司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6</w:t>
            </w:r>
          </w:p>
        </w:tc>
        <w:tc>
          <w:tcPr>
            <w:tcW w:w="43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襄垣县东江环保科技有限公司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7</w:t>
            </w:r>
          </w:p>
        </w:tc>
        <w:tc>
          <w:tcPr>
            <w:tcW w:w="4360" w:type="dxa"/>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空气产品潞安（长治）有限公司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8</w:t>
            </w:r>
          </w:p>
        </w:tc>
        <w:tc>
          <w:tcPr>
            <w:tcW w:w="43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山西裕英永旭新材料有限责任公司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重点检查</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lang w:val="en-US" w:eastAsia="zh-CN"/>
              </w:rPr>
              <w:t>一次1天）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9</w:t>
            </w:r>
          </w:p>
        </w:tc>
        <w:tc>
          <w:tcPr>
            <w:tcW w:w="4360" w:type="dxa"/>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胜科（长治）水务有限公司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10</w:t>
            </w:r>
          </w:p>
        </w:tc>
        <w:tc>
          <w:tcPr>
            <w:tcW w:w="4360" w:type="dxa"/>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襄垣县万普净水材料有限公司</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11</w:t>
            </w:r>
          </w:p>
        </w:tc>
        <w:tc>
          <w:tcPr>
            <w:tcW w:w="4360" w:type="dxa"/>
            <w:noWrap w:val="0"/>
            <w:vAlign w:val="center"/>
          </w:tcPr>
          <w:p>
            <w:pPr>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中国石化销售股份有限公司山西长治襄垣长兴路加油站</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12</w:t>
            </w:r>
          </w:p>
        </w:tc>
        <w:tc>
          <w:tcPr>
            <w:tcW w:w="4360" w:type="dxa"/>
            <w:noWrap w:val="0"/>
            <w:vAlign w:val="center"/>
          </w:tcPr>
          <w:p>
            <w:pPr>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中国石化销售股份有限公司山西长治襄垣店上加油站</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13</w:t>
            </w:r>
          </w:p>
        </w:tc>
        <w:tc>
          <w:tcPr>
            <w:tcW w:w="4360" w:type="dxa"/>
            <w:noWrap w:val="0"/>
            <w:vAlign w:val="center"/>
          </w:tcPr>
          <w:p>
            <w:pPr>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中国石油天然气股份有限公司山西长治销售分公司襄垣古韩大道加油站</w:t>
            </w:r>
          </w:p>
        </w:tc>
        <w:tc>
          <w:tcPr>
            <w:tcW w:w="2992" w:type="dxa"/>
            <w:vMerge w:val="continue"/>
            <w:noWrap w:val="0"/>
            <w:vAlign w:val="center"/>
          </w:tcPr>
          <w:p>
            <w:pPr>
              <w:jc w:val="center"/>
              <w:rPr>
                <w:rFonts w:hint="eastAsia" w:ascii="仿宋_GB2312" w:hAnsi="仿宋_GB2312" w:eastAsia="仿宋_GB2312" w:cs="仿宋_GB2312"/>
                <w:color w:val="000000"/>
                <w:kern w:val="0"/>
                <w:sz w:val="24"/>
                <w:szCs w:val="24"/>
                <w:lang w:val="en-US" w:eastAsia="zh-CN" w:bidi="ar-SA"/>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560"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14</w:t>
            </w:r>
          </w:p>
        </w:tc>
        <w:tc>
          <w:tcPr>
            <w:tcW w:w="4360" w:type="dxa"/>
            <w:noWrap w:val="0"/>
            <w:vAlign w:val="center"/>
          </w:tcPr>
          <w:p>
            <w:pPr>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lang w:val="en-US" w:eastAsia="zh-CN"/>
              </w:rPr>
              <w:t xml:space="preserve">中国石油天然气股份有限公司山西长治销售分公司太长高速襄垣东区加油站 </w:t>
            </w:r>
          </w:p>
        </w:tc>
        <w:tc>
          <w:tcPr>
            <w:tcW w:w="2992" w:type="dxa"/>
            <w:vMerge w:val="continue"/>
            <w:noWrap w:val="0"/>
            <w:vAlign w:val="center"/>
          </w:tcPr>
          <w:p>
            <w:pPr>
              <w:jc w:val="center"/>
              <w:rPr>
                <w:rFonts w:hint="eastAsia" w:ascii="仿宋_GB2312" w:hAnsi="仿宋_GB2312" w:eastAsia="仿宋_GB2312" w:cs="仿宋_GB2312"/>
                <w:color w:val="000000"/>
                <w:kern w:val="0"/>
                <w:sz w:val="24"/>
              </w:rPr>
            </w:pPr>
          </w:p>
        </w:tc>
        <w:tc>
          <w:tcPr>
            <w:tcW w:w="1696" w:type="dxa"/>
            <w:gridSpan w:val="2"/>
            <w:noWrap w:val="0"/>
            <w:vAlign w:val="center"/>
          </w:tcPr>
          <w:p>
            <w:pPr>
              <w:widowControl/>
              <w:jc w:val="center"/>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rPr>
              <w:t>一般检查</w:t>
            </w:r>
          </w:p>
        </w:tc>
      </w:tr>
    </w:tbl>
    <w:p>
      <w:pPr>
        <w:widowControl w:val="0"/>
        <w:ind w:left="0" w:leftChars="0" w:firstLine="0" w:firstLineChars="0"/>
        <w:jc w:val="both"/>
        <w:rPr>
          <w:rFonts w:hint="eastAsia" w:ascii="Times New Roman" w:hAnsi="Times New Roman" w:eastAsia="仿宋_GB2312" w:cs="Times New Roman"/>
          <w:color w:val="000000"/>
          <w:kern w:val="2"/>
          <w:sz w:val="32"/>
          <w:szCs w:val="32"/>
          <w:lang w:val="en-US" w:eastAsia="zh-CN" w:bidi="ar-SA"/>
        </w:rPr>
      </w:pPr>
    </w:p>
    <w:tbl>
      <w:tblPr>
        <w:tblStyle w:val="2"/>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4337"/>
        <w:gridCol w:w="3357"/>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4"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序号</w:t>
            </w:r>
          </w:p>
        </w:tc>
        <w:tc>
          <w:tcPr>
            <w:tcW w:w="4337"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生产经营单位</w:t>
            </w:r>
          </w:p>
        </w:tc>
        <w:tc>
          <w:tcPr>
            <w:tcW w:w="3357"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牵头单位</w:t>
            </w:r>
          </w:p>
        </w:tc>
        <w:tc>
          <w:tcPr>
            <w:tcW w:w="1202" w:type="dxa"/>
            <w:noWrap w:val="0"/>
            <w:vAlign w:val="center"/>
          </w:tcPr>
          <w:p>
            <w:pPr>
              <w:widowControl/>
              <w:jc w:val="center"/>
              <w:rPr>
                <w:rFonts w:hint="eastAsia" w:ascii="黑体" w:hAnsi="黑体" w:eastAsia="黑体" w:cs="黑体"/>
                <w:color w:val="000000"/>
                <w:kern w:val="0"/>
                <w:sz w:val="24"/>
              </w:rPr>
            </w:pPr>
            <w:r>
              <w:rPr>
                <w:rFonts w:hint="eastAsia" w:ascii="黑体" w:hAnsi="黑体" w:eastAsia="黑体" w:cs="黑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04" w:type="dxa"/>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15</w:t>
            </w:r>
          </w:p>
        </w:tc>
        <w:tc>
          <w:tcPr>
            <w:tcW w:w="4337" w:type="dxa"/>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中国石油天然气股份有限公司山西长治销售分公司太长高速襄垣西区加油站</w:t>
            </w:r>
          </w:p>
        </w:tc>
        <w:tc>
          <w:tcPr>
            <w:tcW w:w="3357"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危险化学品安全监督管理股</w:t>
            </w: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04" w:type="dxa"/>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16</w:t>
            </w:r>
          </w:p>
        </w:tc>
        <w:tc>
          <w:tcPr>
            <w:tcW w:w="4337"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襄垣县东港加油站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04" w:type="dxa"/>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17</w:t>
            </w:r>
          </w:p>
        </w:tc>
        <w:tc>
          <w:tcPr>
            <w:tcW w:w="4337"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襄垣县恒达加油站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04" w:type="dxa"/>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18</w:t>
            </w:r>
          </w:p>
        </w:tc>
        <w:tc>
          <w:tcPr>
            <w:tcW w:w="4337"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襄垣县宏宝加油站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rPr>
            </w:pPr>
            <w:r>
              <w:rPr>
                <w:rFonts w:hint="eastAsia" w:ascii="仿宋_GB2312" w:hAnsi="仿宋_GB2312" w:eastAsia="仿宋_GB2312" w:cs="仿宋_GB2312"/>
                <w:color w:val="000000"/>
                <w:kern w:val="0"/>
                <w:sz w:val="24"/>
                <w:lang w:val="en-US" w:eastAsia="zh-CN"/>
              </w:rPr>
              <w:t>19</w:t>
            </w:r>
          </w:p>
        </w:tc>
        <w:tc>
          <w:tcPr>
            <w:tcW w:w="4337"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襄垣县毅丰加油站有限公司</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604"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20</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中国石化销售股份有限公司山西长治襄垣第一加油站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21</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中国石化销售股份有限公司山西长治襄垣第二加油站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22</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中国石化销售股份有限公司山西长治襄垣夏店加油站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23</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中国石化销售股份有限公司山西长治襄垣张家庄加油站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24</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中国石化销售股份有限公司山西长治襄垣西王桥加油站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25</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中国石化销售股份有限公司山西长治襄垣水碾加油站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26</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中国石化销售股份有限公司山西长治襄垣王村加油站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27</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中国石化销售股份有限公司山西长治襄垣侯堡加油站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28</w:t>
            </w:r>
          </w:p>
        </w:tc>
        <w:tc>
          <w:tcPr>
            <w:tcW w:w="4337"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襄垣县九七二加油站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04"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29</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延长壳牌山西石油有限公司襄垣县前进加油站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30</w:t>
            </w:r>
          </w:p>
        </w:tc>
        <w:tc>
          <w:tcPr>
            <w:tcW w:w="4337"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襄垣县上马源通加油站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31</w:t>
            </w:r>
          </w:p>
        </w:tc>
        <w:tc>
          <w:tcPr>
            <w:tcW w:w="4337"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襄垣县恒达加油站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32</w:t>
            </w:r>
          </w:p>
        </w:tc>
        <w:tc>
          <w:tcPr>
            <w:tcW w:w="4337"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襄垣县鑫宏源加油站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33</w:t>
            </w:r>
          </w:p>
        </w:tc>
        <w:tc>
          <w:tcPr>
            <w:tcW w:w="4337" w:type="dxa"/>
            <w:noWrap w:val="0"/>
            <w:vAlign w:val="center"/>
          </w:tcPr>
          <w:p>
            <w:pPr>
              <w:widowControl/>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襄垣县上丰加油站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4" w:type="dxa"/>
            <w:noWrap w:val="0"/>
            <w:vAlign w:val="center"/>
          </w:tcPr>
          <w:p>
            <w:pPr>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34</w:t>
            </w:r>
          </w:p>
        </w:tc>
        <w:tc>
          <w:tcPr>
            <w:tcW w:w="43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延长壳牌山西石油有限公司长治襄垣府前路加油站</w:t>
            </w:r>
          </w:p>
        </w:tc>
        <w:tc>
          <w:tcPr>
            <w:tcW w:w="3357" w:type="dxa"/>
            <w:vMerge w:val="continue"/>
            <w:noWrap w:val="0"/>
            <w:vAlign w:val="center"/>
          </w:tcPr>
          <w:p>
            <w:pPr>
              <w:jc w:val="center"/>
              <w:rPr>
                <w:rFonts w:hint="eastAsia" w:ascii="仿宋_GB2312" w:hAnsi="仿宋_GB2312" w:eastAsia="仿宋_GB2312" w:cs="仿宋_GB2312"/>
                <w:color w:val="000000"/>
                <w:kern w:val="0"/>
                <w:sz w:val="24"/>
              </w:rPr>
            </w:pPr>
          </w:p>
        </w:tc>
        <w:tc>
          <w:tcPr>
            <w:tcW w:w="1202"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一般检查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jgyY2IyMDJhMzg3ZTAwNDgwZWRlYmY4Y2Q1MjAifQ=="/>
  </w:docVars>
  <w:rsids>
    <w:rsidRoot w:val="12340412"/>
    <w:rsid w:val="12340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2024-07-01T01:28:00Z</dcterms:created>
  <dc:creator>Administrator</dc:creator>
  <cp:lastModifiedBy>Administrator</cp:lastModifiedBy>
  <dcterms:modified xsi:type="dcterms:W3CDTF">2024-07-01T01:30:22Z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81580EDE389144368608158D7DE6041B_11</vt:lpwstr>
  </property>
</Properties>
</file>