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960" w:firstLineChars="200"/>
        <w:jc w:val="center"/>
        <w:rPr>
          <w:rFonts w:hint="eastAsia" w:ascii="楷体" w:hAnsi="楷体" w:eastAsia="楷体" w:cstheme="minorEastAsia"/>
          <w:b w:val="0"/>
          <w:bCs/>
          <w:sz w:val="48"/>
          <w:szCs w:val="48"/>
          <w:lang w:val="en-US" w:eastAsia="zh-CN"/>
        </w:rPr>
      </w:pPr>
      <w:r>
        <w:rPr>
          <w:rFonts w:hint="eastAsia" w:ascii="楷体" w:hAnsi="楷体" w:eastAsia="楷体" w:cstheme="minorEastAsia"/>
          <w:b w:val="0"/>
          <w:bCs/>
          <w:sz w:val="48"/>
          <w:szCs w:val="48"/>
          <w:lang w:val="en-US" w:eastAsia="zh-CN"/>
        </w:rPr>
        <w:t>襄垣县科学技术协会</w:t>
      </w:r>
      <w:r>
        <w:rPr>
          <w:rFonts w:hint="eastAsia" w:ascii="楷体" w:hAnsi="楷体" w:eastAsia="楷体" w:cstheme="minorEastAsia"/>
          <w:b w:val="0"/>
          <w:bCs/>
          <w:sz w:val="48"/>
          <w:szCs w:val="48"/>
          <w:lang w:eastAsia="zh-CN"/>
        </w:rPr>
        <w:t>国有</w:t>
      </w:r>
      <w:r>
        <w:rPr>
          <w:rFonts w:hint="eastAsia" w:ascii="楷体" w:hAnsi="楷体" w:eastAsia="楷体" w:cstheme="minorEastAsia"/>
          <w:b w:val="0"/>
          <w:bCs/>
          <w:sz w:val="48"/>
          <w:szCs w:val="48"/>
          <w:lang w:val="en-US" w:eastAsia="zh-CN"/>
        </w:rPr>
        <w:t>资产占有使用情况说明</w:t>
      </w:r>
    </w:p>
    <w:p>
      <w:pPr>
        <w:pStyle w:val="2"/>
        <w:widowControl/>
        <w:spacing w:before="150" w:beforeAutospacing="0" w:after="150" w:afterAutospacing="0" w:line="465" w:lineRule="atLeast"/>
        <w:ind w:firstLine="555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截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至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年12月31日，本单位资产总额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38.18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万元，其中流动资产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0.2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万元，固定资产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37.63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万元，在建工程0万元，无形资产0.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35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万元。固定资产当中，房屋构筑物 0万元，汽车1辆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已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移交管理局统一管理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，单价200万元以上大型设备价值 0万元，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无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其他固定资产。</w:t>
      </w:r>
    </w:p>
    <w:p>
      <w:pPr>
        <w:pStyle w:val="2"/>
        <w:widowControl/>
        <w:spacing w:before="150" w:beforeAutospacing="0" w:after="150" w:afterAutospacing="0" w:line="465" w:lineRule="atLeast"/>
        <w:ind w:firstLine="555"/>
        <w:jc w:val="both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与上年相比，本年资产总额增加0万元。</w:t>
      </w:r>
    </w:p>
    <w:p>
      <w:pPr>
        <w:pStyle w:val="2"/>
        <w:widowControl/>
        <w:spacing w:before="150" w:beforeAutospacing="0" w:after="150" w:afterAutospacing="0" w:line="465" w:lineRule="atLeast"/>
        <w:ind w:firstLine="555"/>
        <w:jc w:val="right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</w:pPr>
    </w:p>
    <w:p>
      <w:pPr>
        <w:pStyle w:val="2"/>
        <w:widowControl/>
        <w:spacing w:before="150" w:beforeAutospacing="0" w:after="150" w:afterAutospacing="0" w:line="465" w:lineRule="atLeast"/>
        <w:ind w:firstLine="555"/>
        <w:jc w:val="right"/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襄垣县科学技术协会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FC14E5"/>
    <w:rsid w:val="32DD0A74"/>
    <w:rsid w:val="683B7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Calibri" w:hAnsi="Calibri" w:eastAsia="宋体" w:cs="Times New Roman"/>
      <w:kern w:val="0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2022-03-04T01:06:00Z</dcterms:created>
  <dc:creator>Administrator</dc:creator>
  <cp:lastModifiedBy>吴</cp:lastModifiedBy>
  <dcterms:modified xsi:type="dcterms:W3CDTF">2022-03-18T01:21:35Z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D2B45C7394BB4B0DBF418486FA45F040</vt:lpwstr>
  </property>
</Properties>
</file>