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ascii="黑体" w:hAnsi="黑体" w:eastAsia="黑体" w:cstheme="minorEastAsia"/>
          <w:sz w:val="44"/>
          <w:szCs w:val="44"/>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Arial" w:hAnsi="Arial" w:eastAsia="黑体" w:cs="Arial"/>
          <w:sz w:val="44"/>
          <w:szCs w:val="44"/>
          <w:lang w:val="en-US" w:eastAsia="zh-CN"/>
        </w:rPr>
        <w:t>泰瑞达供热有限公司</w:t>
      </w: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22</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襄垣县泰瑞达供热有限公司是2008年注册成立的市政运营企业，集中调度中心位于襄垣县城内开元西街。公司主要职责是负责襄垣县集中供热工程的建设、生产运行管理及取暖费的收缴等工作。</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keepNext w:val="0"/>
        <w:keepLines w:val="0"/>
        <w:pageBreakBefore w:val="0"/>
        <w:widowControl w:val="0"/>
        <w:kinsoku/>
        <w:wordWrap/>
        <w:overflowPunct/>
        <w:topLinePunct w:val="0"/>
        <w:autoSpaceDE/>
        <w:autoSpaceDN/>
        <w:bidi w:val="0"/>
        <w:snapToGrid/>
        <w:spacing w:line="360" w:lineRule="auto"/>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公司内设工会、办公室、财务科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人事科、经营科、安</w:t>
      </w:r>
      <w:r>
        <w:rPr>
          <w:rFonts w:hint="eastAsia" w:ascii="仿宋_GB2312" w:hAnsi="仿宋_GB2312" w:eastAsia="仿宋_GB2312" w:cs="仿宋_GB2312"/>
          <w:color w:val="auto"/>
          <w:sz w:val="32"/>
          <w:szCs w:val="32"/>
        </w:rPr>
        <w:t>全科、法制科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材料科、管网科、技术科、稽查队、抢修队、</w:t>
      </w:r>
      <w:r>
        <w:rPr>
          <w:rFonts w:hint="eastAsia" w:ascii="仿宋_GB2312" w:hAnsi="仿宋_GB2312" w:eastAsia="仿宋_GB2312" w:cs="仿宋_GB2312"/>
          <w:color w:val="auto"/>
          <w:sz w:val="32"/>
          <w:szCs w:val="32"/>
          <w:lang w:val="en-US" w:eastAsia="zh-CN"/>
        </w:rPr>
        <w:t>化验科、</w:t>
      </w:r>
      <w:r>
        <w:rPr>
          <w:rFonts w:hint="eastAsia" w:ascii="仿宋_GB2312" w:hAnsi="仿宋_GB2312" w:eastAsia="仿宋_GB2312" w:cs="仿宋_GB2312"/>
          <w:color w:val="auto"/>
          <w:sz w:val="32"/>
          <w:szCs w:val="32"/>
        </w:rPr>
        <w:t>两个供热首站、四个换热站区等</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个科室，职工15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0" w:firstLineChars="200"/>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没有行政事业编制人员。</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襄垣县泰瑞达供热有限公司2022年度收入、支出预算总计  3360万元，与上年相比收、支预算总计减少186 万元，减少6 %。主要原因是贷款资本金减少，拨入利息减少。其中：</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（一）收入预算总计 3360万元。包括：</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1．财政拨款收入预算总计3360万元。</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（1）一般公共预算收入预算 3360万元，与上年相比减少254万元，减少8 %。主要原因是贷款资本金减少，拨付利息减少。</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（二）支出预算总计3360万元。包括：</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t>1．一般公共服务（类）支出 3360万元，主要用于二线贷款本金利息归还。与上年相比减少 186万元，减少6 %。主要原因是贷款本金减少，拨付利息减少。</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val="en-US" w:eastAsia="zh-CN"/>
        </w:rPr>
        <w:t>四</w:t>
      </w:r>
      <w:r>
        <w:rPr>
          <w:rFonts w:hint="eastAsia" w:ascii="仿宋_GB2312" w:eastAsia="仿宋_GB2312" w:hAnsiTheme="minorEastAsia" w:cstheme="minorEastAsia"/>
          <w:color w:val="auto"/>
          <w:sz w:val="32"/>
          <w:szCs w:val="32"/>
          <w:lang w:eastAsia="zh-CN"/>
        </w:rPr>
        <w:t>、</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5B9BD5" w:themeColor="accent1"/>
          <w:sz w:val="32"/>
          <w:szCs w:val="32"/>
          <w14:textFill>
            <w14:solidFill>
              <w14:schemeClr w14:val="accent1"/>
            </w14:solidFill>
          </w14:textFill>
        </w:rPr>
        <w:t>本部门20</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22</w:t>
      </w:r>
      <w:bookmarkStart w:id="0" w:name="_GoBack"/>
      <w:bookmarkEnd w:id="0"/>
      <w:r>
        <w:rPr>
          <w:rFonts w:hint="eastAsia" w:ascii="仿宋_GB2312" w:eastAsia="仿宋_GB2312" w:hAnsiTheme="minorEastAsia" w:cstheme="minorEastAsia"/>
          <w:color w:val="5B9BD5" w:themeColor="accent1"/>
          <w:sz w:val="32"/>
          <w:szCs w:val="32"/>
          <w14:textFill>
            <w14:solidFill>
              <w14:schemeClr w14:val="accent1"/>
            </w14:solidFill>
          </w14:textFill>
        </w:rPr>
        <w:t>年度政府采购</w:t>
      </w: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安排</w:t>
      </w:r>
      <w:r>
        <w:rPr>
          <w:rFonts w:hint="eastAsia" w:ascii="仿宋_GB2312" w:eastAsia="仿宋_GB2312" w:hAnsiTheme="minorEastAsia" w:cstheme="minorEastAsia"/>
          <w:color w:val="5B9BD5" w:themeColor="accent1"/>
          <w:sz w:val="32"/>
          <w:szCs w:val="32"/>
          <w14:textFill>
            <w14:solidFill>
              <w14:schemeClr w14:val="accent1"/>
            </w14:solidFill>
          </w14:textFill>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五</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截</w:t>
      </w:r>
      <w:r>
        <w:rPr>
          <w:rFonts w:hint="eastAsia" w:ascii="仿宋_GB2312" w:hAnsi="仿宋_GB2312" w:eastAsia="仿宋_GB2312" w:cs="仿宋_GB2312"/>
          <w:color w:val="auto"/>
          <w:sz w:val="32"/>
          <w:szCs w:val="32"/>
          <w:shd w:val="clear" w:color="auto" w:fill="FFFFFF"/>
          <w:lang w:val="en-US" w:eastAsia="zh-CN"/>
        </w:rPr>
        <w:t>至</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 xml:space="preserve"> 59522</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25131</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34191</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 xml:space="preserve"> 200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 xml:space="preserve"> 32535</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1631</w:t>
      </w:r>
      <w:r>
        <w:rPr>
          <w:rFonts w:hint="eastAsia" w:ascii="仿宋_GB2312" w:hAnsi="仿宋_GB2312" w:eastAsia="仿宋_GB2312" w:cs="仿宋_GB2312"/>
          <w:color w:val="auto"/>
          <w:sz w:val="32"/>
          <w:szCs w:val="32"/>
          <w:shd w:val="clear" w:color="auto" w:fill="FFFFFF"/>
        </w:rPr>
        <w:t>万元。 </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与上年相比，本年资产总额增加</w:t>
      </w:r>
      <w:r>
        <w:rPr>
          <w:rFonts w:hint="eastAsia" w:ascii="仿宋_GB2312" w:hAnsi="仿宋_GB2312" w:eastAsia="仿宋_GB2312" w:cs="仿宋_GB2312"/>
          <w:color w:val="auto"/>
          <w:sz w:val="32"/>
          <w:szCs w:val="32"/>
          <w:shd w:val="clear" w:color="auto" w:fill="FFFFFF"/>
          <w:lang w:val="en-US" w:eastAsia="zh-CN"/>
        </w:rPr>
        <w:t xml:space="preserve"> -5481</w:t>
      </w:r>
      <w:r>
        <w:rPr>
          <w:rFonts w:hint="eastAsia" w:ascii="仿宋_GB2312" w:hAnsi="仿宋_GB2312" w:eastAsia="仿宋_GB2312" w:cs="仿宋_GB2312"/>
          <w:color w:val="auto"/>
          <w:sz w:val="32"/>
          <w:szCs w:val="32"/>
          <w:shd w:val="clear" w:color="auto" w:fill="FFFFFF"/>
        </w:rPr>
        <w:t>万元。 </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截至2021年年底，</w:t>
      </w:r>
      <w:r>
        <w:rPr>
          <w:rFonts w:hint="eastAsia" w:ascii="仿宋_GB2312" w:hAnsi="仿宋_GB2312" w:eastAsia="仿宋_GB2312" w:cs="仿宋_GB2312"/>
          <w:color w:val="000000"/>
          <w:sz w:val="32"/>
          <w:szCs w:val="32"/>
        </w:rPr>
        <w:t>我公司共建成首站2座，换热站</w:t>
      </w:r>
      <w:r>
        <w:rPr>
          <w:rFonts w:hint="eastAsia" w:ascii="仿宋_GB2312" w:hAnsi="仿宋_GB2312" w:eastAsia="仿宋_GB2312" w:cs="仿宋_GB2312"/>
          <w:color w:val="000000"/>
          <w:sz w:val="32"/>
          <w:szCs w:val="32"/>
          <w:lang w:val="en-US" w:eastAsia="zh-CN"/>
        </w:rPr>
        <w:t>108</w:t>
      </w:r>
      <w:r>
        <w:rPr>
          <w:rFonts w:hint="eastAsia" w:ascii="仿宋_GB2312" w:hAnsi="仿宋_GB2312" w:eastAsia="仿宋_GB2312" w:cs="仿宋_GB2312"/>
          <w:color w:val="000000"/>
          <w:sz w:val="32"/>
          <w:szCs w:val="32"/>
        </w:rPr>
        <w:t>座，铺设热力管网100多千米，供热总面积达到</w:t>
      </w:r>
      <w:r>
        <w:rPr>
          <w:rFonts w:hint="eastAsia" w:ascii="仿宋_GB2312" w:hAnsi="仿宋_GB2312" w:eastAsia="仿宋_GB2312" w:cs="仿宋_GB2312"/>
          <w:color w:val="auto"/>
          <w:sz w:val="32"/>
          <w:szCs w:val="32"/>
          <w:lang w:val="en-US" w:eastAsia="zh-CN"/>
        </w:rPr>
        <w:t>731.99</w:t>
      </w:r>
      <w:r>
        <w:rPr>
          <w:rFonts w:hint="eastAsia" w:ascii="仿宋_GB2312" w:hAnsi="仿宋_GB2312" w:eastAsia="仿宋_GB2312" w:cs="仿宋_GB2312"/>
          <w:color w:val="000000"/>
          <w:sz w:val="32"/>
          <w:szCs w:val="32"/>
        </w:rPr>
        <w:t>万平方米，覆盖全县128个单位、155个集中小区、8个城中村、1个工业园区，共计3</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000多居民用户，县城供热覆盖率达到9</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%以上。</w:t>
      </w:r>
    </w:p>
    <w:p>
      <w:pPr>
        <w:ind w:firstLine="640" w:firstLineChars="200"/>
        <w:rPr>
          <w:rFonts w:hint="default" w:ascii="楷体" w:hAnsi="楷体" w:eastAsia="楷体" w:cstheme="minorEastAsia"/>
          <w:b w:val="0"/>
          <w:bCs/>
          <w:sz w:val="32"/>
          <w:szCs w:val="32"/>
          <w:lang w:val="en-US" w:eastAsia="zh-CN"/>
        </w:rPr>
      </w:pPr>
    </w:p>
    <w:p>
      <w:pPr>
        <w:ind w:firstLine="640" w:firstLineChars="200"/>
        <w:rPr>
          <w:rFonts w:hint="default" w:ascii="楷体" w:hAnsi="楷体" w:eastAsia="楷体" w:cstheme="minorEastAsia"/>
          <w:b w:val="0"/>
          <w:bCs/>
          <w:sz w:val="32"/>
          <w:szCs w:val="32"/>
          <w:lang w:val="en-US" w:eastAsia="zh-CN"/>
        </w:rPr>
      </w:pPr>
    </w:p>
    <w:p>
      <w:pPr>
        <w:numPr>
          <w:ilvl w:val="0"/>
          <w:numId w:val="1"/>
        </w:num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numPr>
          <w:ilvl w:val="0"/>
          <w:numId w:val="0"/>
        </w:numPr>
        <w:ind w:firstLine="640" w:firstLineChars="200"/>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pP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本单位本年度无此项预算，故无此项说明</w:t>
      </w:r>
    </w:p>
    <w:p>
      <w:pPr>
        <w:ind w:firstLine="640" w:firstLineChars="200"/>
        <w:rPr>
          <w:rFonts w:hint="eastAsia" w:ascii="楷体" w:hAnsi="楷体" w:eastAsia="楷体" w:cstheme="minorEastAsia"/>
          <w:b w:val="0"/>
          <w:bCs/>
          <w:sz w:val="32"/>
          <w:szCs w:val="32"/>
          <w:lang w:eastAsia="zh-CN"/>
        </w:rPr>
      </w:pP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pPr>
      <w:r>
        <w:rPr>
          <w:rFonts w:hint="eastAsia" w:ascii="仿宋_GB2312" w:eastAsia="仿宋_GB2312" w:hAnsiTheme="minorEastAsia" w:cstheme="minorEastAsia"/>
          <w:color w:val="5B9BD5" w:themeColor="accent1"/>
          <w:sz w:val="32"/>
          <w:szCs w:val="32"/>
          <w:lang w:eastAsia="zh-CN"/>
          <w14:textFill>
            <w14:solidFill>
              <w14:schemeClr w14:val="accent1"/>
            </w14:solidFill>
          </w14:textFill>
        </w:rPr>
        <w:t>本单位本年度无此项预算，故无此项说明</w:t>
      </w:r>
    </w:p>
    <w:p>
      <w:pPr>
        <w:ind w:firstLine="640" w:firstLineChars="200"/>
        <w:rPr>
          <w:rFonts w:asciiTheme="minorEastAsia" w:hAnsiTheme="minorEastAsia" w:cstheme="minorEastAsia"/>
          <w:sz w:val="32"/>
          <w:szCs w:val="32"/>
        </w:rPr>
      </w:pPr>
    </w:p>
    <w:p>
      <w:pPr>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0FFAD"/>
    <w:multiLevelType w:val="singleLevel"/>
    <w:tmpl w:val="4950FF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6F1C5E"/>
    <w:rsid w:val="01742A72"/>
    <w:rsid w:val="01DA336E"/>
    <w:rsid w:val="05E42E29"/>
    <w:rsid w:val="061E09E3"/>
    <w:rsid w:val="06A43BA7"/>
    <w:rsid w:val="087A6196"/>
    <w:rsid w:val="0C5A5250"/>
    <w:rsid w:val="0C64513E"/>
    <w:rsid w:val="0DE649EC"/>
    <w:rsid w:val="0E13471B"/>
    <w:rsid w:val="0EE25EB1"/>
    <w:rsid w:val="10CB3E8D"/>
    <w:rsid w:val="11F35FF2"/>
    <w:rsid w:val="179A58B8"/>
    <w:rsid w:val="1B4A6025"/>
    <w:rsid w:val="1C3A257E"/>
    <w:rsid w:val="1DF453AF"/>
    <w:rsid w:val="1E107510"/>
    <w:rsid w:val="1E643EFE"/>
    <w:rsid w:val="209E0EC3"/>
    <w:rsid w:val="22140CC1"/>
    <w:rsid w:val="24D63713"/>
    <w:rsid w:val="2A937DAC"/>
    <w:rsid w:val="2DB60033"/>
    <w:rsid w:val="2F754CA8"/>
    <w:rsid w:val="2FB928F6"/>
    <w:rsid w:val="341824CB"/>
    <w:rsid w:val="343F3937"/>
    <w:rsid w:val="34D53928"/>
    <w:rsid w:val="37015ED3"/>
    <w:rsid w:val="38D63749"/>
    <w:rsid w:val="39E01B38"/>
    <w:rsid w:val="3F5C42DA"/>
    <w:rsid w:val="41EE06AB"/>
    <w:rsid w:val="43E475B8"/>
    <w:rsid w:val="44464920"/>
    <w:rsid w:val="44FB5DC2"/>
    <w:rsid w:val="458B37F5"/>
    <w:rsid w:val="467D2DBE"/>
    <w:rsid w:val="48832669"/>
    <w:rsid w:val="48E87EB6"/>
    <w:rsid w:val="4A4F3891"/>
    <w:rsid w:val="4AFA4BB2"/>
    <w:rsid w:val="4D9B3CEE"/>
    <w:rsid w:val="4EBA5260"/>
    <w:rsid w:val="522F50B0"/>
    <w:rsid w:val="52567629"/>
    <w:rsid w:val="52D54DBE"/>
    <w:rsid w:val="582B68F4"/>
    <w:rsid w:val="5D083F24"/>
    <w:rsid w:val="5D306324"/>
    <w:rsid w:val="60860A87"/>
    <w:rsid w:val="60B46440"/>
    <w:rsid w:val="615250FF"/>
    <w:rsid w:val="61C6166E"/>
    <w:rsid w:val="635C762A"/>
    <w:rsid w:val="670C00FF"/>
    <w:rsid w:val="6FD93AE0"/>
    <w:rsid w:val="71FC58C7"/>
    <w:rsid w:val="7249546B"/>
    <w:rsid w:val="729F0AAD"/>
    <w:rsid w:val="77583EF0"/>
    <w:rsid w:val="7B4A647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1953</Words>
  <Characters>2051</Characters>
  <Lines>27</Lines>
  <Paragraphs>7</Paragraphs>
  <TotalTime>4</TotalTime>
  <ScaleCrop>false</ScaleCrop>
  <LinksUpToDate>false</LinksUpToDate>
  <CharactersWithSpaces>2076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希芸</cp:lastModifiedBy>
  <cp:lastPrinted>2019-09-11T06:01:00Z</cp:lastPrinted>
  <dcterms:modified xsi:type="dcterms:W3CDTF">2022-03-30T01:31:26Z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C97A21A786814F85BA453B58658D5EE8</vt:lpwstr>
  </property>
</Properties>
</file>