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ascii="黑体" w:hAnsi="黑体" w:eastAsia="黑体" w:cstheme="minorEastAsia"/>
          <w:sz w:val="52"/>
          <w:szCs w:val="52"/>
        </w:rPr>
      </w:pPr>
      <w:r>
        <w:rPr>
          <w:rFonts w:hint="eastAsia" w:ascii="黑体" w:hAnsi="黑体" w:eastAsia="黑体" w:cstheme="minorEastAsia"/>
          <w:sz w:val="52"/>
          <w:szCs w:val="52"/>
        </w:rPr>
        <w:t>中共襄垣县委老干部局</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2018年度部门决算公开说明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2019年8月11日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Lines="50"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二、部门基本情况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2018年度部门决算公开表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2018年度部门决算情况说明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三、一般公共预算财政拨款支出决算表公开到功能分类项级科目</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四、一般公共预算财政拨款基本支出决算表公开到经济性质分类款级科目</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五、一般公共预算财政拨款“三公”经费支出决算情况说明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六、政府采购支出情况说明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七、机关运行经费执行情况说明</w:t>
      </w:r>
    </w:p>
    <w:p>
      <w:pPr>
        <w:pStyle w:val="4"/>
        <w:widowControl/>
        <w:spacing w:before="0" w:beforeAutospacing="0" w:after="0" w:afterAutospacing="0" w:line="30" w:lineRule="atLeast"/>
        <w:ind w:firstLine="640" w:firstLineChars="200"/>
        <w:rPr>
          <w:rFonts w:ascii="仿宋_GB2312" w:eastAsia="仿宋_GB2312" w:hAnsiTheme="minorEastAsia" w:cstheme="minorEastAsia"/>
          <w:kern w:val="2"/>
          <w:sz w:val="32"/>
          <w:szCs w:val="32"/>
        </w:rPr>
      </w:pPr>
      <w:r>
        <w:rPr>
          <w:rFonts w:hint="eastAsia" w:ascii="仿宋_GB2312" w:eastAsia="仿宋_GB2312" w:hAnsiTheme="minorEastAsia" w:cstheme="minorEastAsia"/>
          <w:sz w:val="32"/>
          <w:szCs w:val="32"/>
        </w:rPr>
        <w:t>八、</w:t>
      </w:r>
      <w:r>
        <w:rPr>
          <w:rFonts w:hint="eastAsia" w:ascii="仿宋_GB2312" w:eastAsia="仿宋_GB2312" w:hAnsiTheme="minorEastAsia" w:cstheme="minorEastAsia"/>
          <w:kern w:val="2"/>
          <w:sz w:val="32"/>
          <w:szCs w:val="32"/>
        </w:rPr>
        <w:t>国有资产占用情况说明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ascii="黑体" w:hAnsi="黑体" w:eastAsia="黑体" w:cstheme="minorEastAsia"/>
          <w:b/>
          <w:bCs/>
          <w:sz w:val="32"/>
          <w:szCs w:val="32"/>
        </w:rPr>
      </w:pPr>
    </w:p>
    <w:p>
      <w:pPr>
        <w:ind w:firstLine="643" w:firstLineChars="200"/>
        <w:rPr>
          <w:rFonts w:ascii="黑体" w:hAnsi="黑体" w:eastAsia="黑体" w:cs="黑体"/>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rPr>
        <w:t>中共襄垣县委老干部局部门</w:t>
      </w:r>
      <w:r>
        <w:rPr>
          <w:rFonts w:hint="eastAsia" w:ascii="黑体" w:hAnsi="黑体" w:eastAsia="黑体" w:cstheme="minorEastAsia"/>
          <w:b/>
          <w:bCs/>
          <w:sz w:val="32"/>
          <w:szCs w:val="32"/>
        </w:rPr>
        <w:t>概况</w:t>
      </w:r>
    </w:p>
    <w:p>
      <w:pPr>
        <w:ind w:firstLine="643" w:firstLineChars="200"/>
        <w:rPr>
          <w:rFonts w:ascii="楷体" w:hAnsi="楷体" w:eastAsia="楷体" w:cstheme="minorEastAsia"/>
          <w:b/>
          <w:color w:val="FF0000"/>
          <w:sz w:val="32"/>
          <w:szCs w:val="32"/>
        </w:rPr>
      </w:pPr>
      <w:r>
        <w:rPr>
          <w:rFonts w:hint="eastAsia" w:ascii="楷体" w:hAnsi="楷体" w:eastAsia="楷体" w:cstheme="minorEastAsia"/>
          <w:b/>
          <w:sz w:val="32"/>
          <w:szCs w:val="32"/>
        </w:rPr>
        <w:t>一、部门主要职能</w:t>
      </w:r>
    </w:p>
    <w:p>
      <w:pPr>
        <w:ind w:firstLine="640" w:firstLineChars="200"/>
        <w:rPr>
          <w:sz w:val="32"/>
          <w:szCs w:val="32"/>
        </w:rPr>
      </w:pPr>
      <w:r>
        <w:rPr>
          <w:rFonts w:hint="eastAsia"/>
          <w:sz w:val="32"/>
          <w:szCs w:val="32"/>
        </w:rPr>
        <w:t>（一）贯彻中央、国务院和省委、省政府以及市委、市政府关于离退休干部工作的方针、政策和有关规定及县委、县政府的有关精神，制定实施办法和细则，开展调査硏究，为县委、县政府和有关部门制定离退休干部工作政策提供情况和依据。</w:t>
      </w:r>
    </w:p>
    <w:p>
      <w:pPr>
        <w:ind w:firstLine="640" w:firstLineChars="200"/>
        <w:rPr>
          <w:sz w:val="32"/>
          <w:szCs w:val="32"/>
        </w:rPr>
      </w:pPr>
      <w:r>
        <w:rPr>
          <w:rFonts w:hint="eastAsia"/>
          <w:sz w:val="32"/>
          <w:szCs w:val="32"/>
        </w:rPr>
        <w:t>（二）负责对离退休干部工作的监督、检査、指导和协调；督促离退休干部的政治待遇和生活待遇的落实。</w:t>
      </w:r>
    </w:p>
    <w:p>
      <w:pPr>
        <w:ind w:firstLine="640" w:firstLineChars="200"/>
        <w:rPr>
          <w:sz w:val="32"/>
          <w:szCs w:val="32"/>
        </w:rPr>
      </w:pPr>
      <w:r>
        <w:rPr>
          <w:rFonts w:hint="eastAsia"/>
          <w:sz w:val="32"/>
          <w:szCs w:val="32"/>
        </w:rPr>
        <w:t>（三）检查、督促、指导离退休干部的党组织建设，加强离退休干部的学习教育，做好思想政治工作；组织指导离退休干部在两个文明建设中发挥作用。</w:t>
      </w:r>
    </w:p>
    <w:p>
      <w:pPr>
        <w:ind w:firstLine="640" w:firstLineChars="200"/>
        <w:rPr>
          <w:sz w:val="32"/>
          <w:szCs w:val="32"/>
        </w:rPr>
      </w:pPr>
      <w:r>
        <w:rPr>
          <w:rFonts w:hint="eastAsia"/>
          <w:sz w:val="32"/>
          <w:szCs w:val="32"/>
        </w:rPr>
        <w:t>（四）负责组织指导离退休干部的文体健身活动及医疗保健工作。</w:t>
      </w:r>
    </w:p>
    <w:p>
      <w:pPr>
        <w:ind w:firstLine="640" w:firstLineChars="200"/>
        <w:rPr>
          <w:sz w:val="32"/>
          <w:szCs w:val="32"/>
        </w:rPr>
      </w:pPr>
      <w:r>
        <w:rPr>
          <w:rFonts w:hint="eastAsia"/>
          <w:sz w:val="32"/>
          <w:szCs w:val="32"/>
        </w:rPr>
        <w:t>（五）搞好全县离退休干部工作部门和工作人员的自身建设。</w:t>
      </w:r>
    </w:p>
    <w:p>
      <w:pPr>
        <w:ind w:firstLine="640" w:firstLineChars="200"/>
        <w:rPr>
          <w:sz w:val="32"/>
          <w:szCs w:val="32"/>
        </w:rPr>
      </w:pPr>
      <w:r>
        <w:rPr>
          <w:rFonts w:hint="eastAsia"/>
          <w:sz w:val="32"/>
          <w:szCs w:val="32"/>
        </w:rPr>
        <w:t>（六）完成县委交办的其他任务。</w:t>
      </w:r>
    </w:p>
    <w:p>
      <w:pPr>
        <w:ind w:firstLine="643" w:firstLineChars="200"/>
        <w:rPr>
          <w:rFonts w:ascii="楷体" w:hAnsi="楷体" w:eastAsia="楷体" w:cstheme="minorEastAsia"/>
          <w:b/>
          <w:sz w:val="32"/>
          <w:szCs w:val="32"/>
        </w:rPr>
      </w:pPr>
      <w:r>
        <w:rPr>
          <w:rFonts w:hint="eastAsia" w:ascii="楷体" w:hAnsi="楷体" w:eastAsia="楷体" w:cstheme="minorEastAsia"/>
          <w:b/>
          <w:sz w:val="32"/>
          <w:szCs w:val="32"/>
        </w:rPr>
        <w:t>二、部门基本情况</w:t>
      </w:r>
    </w:p>
    <w:p>
      <w:pPr>
        <w:widowControl/>
        <w:spacing w:line="324" w:lineRule="atLeast"/>
        <w:ind w:left="540"/>
        <w:jc w:val="left"/>
        <w:rPr>
          <w:rFonts w:ascii="仿宋_GB2312" w:hAnsi="楷体" w:eastAsia="仿宋_GB2312" w:cs="宋体"/>
          <w:bCs/>
          <w:color w:val="333333"/>
          <w:kern w:val="0"/>
          <w:sz w:val="18"/>
          <w:szCs w:val="18"/>
        </w:rPr>
      </w:pPr>
      <w:r>
        <w:rPr>
          <w:rFonts w:hint="eastAsia" w:ascii="仿宋_GB2312" w:hAnsi="楷体" w:eastAsia="仿宋_GB2312" w:cs="宋体"/>
          <w:bCs/>
          <w:color w:val="333333"/>
          <w:kern w:val="0"/>
          <w:sz w:val="32"/>
          <w:szCs w:val="32"/>
        </w:rPr>
        <w:t>（一）机构设置情况</w:t>
      </w:r>
    </w:p>
    <w:p>
      <w:pPr>
        <w:ind w:firstLine="640" w:firstLineChars="200"/>
        <w:rPr>
          <w:sz w:val="32"/>
          <w:szCs w:val="32"/>
        </w:rPr>
      </w:pPr>
      <w:r>
        <w:rPr>
          <w:rFonts w:hint="eastAsia"/>
          <w:sz w:val="32"/>
          <w:szCs w:val="32"/>
        </w:rPr>
        <w:t>老干部活动中心属事业副科单位，共有编制5人，实有工作人员5人（活动中心主任1名，科员</w:t>
      </w:r>
      <w:r>
        <w:rPr>
          <w:sz w:val="32"/>
          <w:szCs w:val="32"/>
        </w:rPr>
        <w:t>4</w:t>
      </w:r>
      <w:r>
        <w:rPr>
          <w:rFonts w:hint="eastAsia"/>
          <w:sz w:val="32"/>
          <w:szCs w:val="32"/>
        </w:rPr>
        <w:t>名）。</w:t>
      </w:r>
    </w:p>
    <w:p>
      <w:pPr>
        <w:ind w:firstLine="640" w:firstLineChars="200"/>
        <w:rPr>
          <w:sz w:val="32"/>
          <w:szCs w:val="32"/>
        </w:rPr>
      </w:pPr>
      <w:r>
        <w:rPr>
          <w:rFonts w:hint="eastAsia"/>
          <w:sz w:val="32"/>
          <w:szCs w:val="32"/>
        </w:rPr>
        <w:t>老年大学属于事业股级单位，编制2人，科员2人。</w:t>
      </w:r>
    </w:p>
    <w:p>
      <w:pPr>
        <w:widowControl/>
        <w:spacing w:line="324" w:lineRule="atLeast"/>
        <w:ind w:left="540"/>
        <w:jc w:val="left"/>
        <w:rPr>
          <w:rFonts w:ascii="仿宋_GB2312" w:hAnsi="楷体" w:eastAsia="仿宋_GB2312" w:cs="宋体"/>
          <w:bCs/>
          <w:color w:val="333333"/>
          <w:kern w:val="0"/>
          <w:sz w:val="32"/>
          <w:szCs w:val="32"/>
        </w:rPr>
      </w:pPr>
      <w:r>
        <w:rPr>
          <w:rFonts w:hint="eastAsia" w:ascii="仿宋_GB2312" w:hAnsi="楷体" w:eastAsia="仿宋_GB2312" w:cs="宋体"/>
          <w:bCs/>
          <w:color w:val="333333"/>
          <w:kern w:val="0"/>
          <w:sz w:val="32"/>
          <w:szCs w:val="32"/>
        </w:rPr>
        <w:t>（二）人员情况说明</w:t>
      </w:r>
    </w:p>
    <w:p>
      <w:pPr>
        <w:ind w:firstLine="640" w:firstLineChars="200"/>
        <w:rPr>
          <w:sz w:val="32"/>
          <w:szCs w:val="32"/>
        </w:rPr>
      </w:pPr>
      <w:r>
        <w:rPr>
          <w:rFonts w:hint="eastAsia"/>
          <w:sz w:val="32"/>
          <w:szCs w:val="32"/>
        </w:rPr>
        <w:t>老干</w:t>
      </w:r>
      <w:r>
        <w:rPr>
          <w:rFonts w:hint="eastAsia"/>
          <w:sz w:val="32"/>
          <w:szCs w:val="32"/>
          <w:lang w:eastAsia="zh-CN"/>
        </w:rPr>
        <w:t>部</w:t>
      </w:r>
      <w:bookmarkStart w:id="0" w:name="_GoBack"/>
      <w:bookmarkEnd w:id="0"/>
      <w:r>
        <w:rPr>
          <w:rFonts w:hint="eastAsia"/>
          <w:sz w:val="32"/>
          <w:szCs w:val="32"/>
        </w:rPr>
        <w:t>局行政编制5人，工勤编制2人。</w:t>
      </w:r>
    </w:p>
    <w:p>
      <w:pPr>
        <w:ind w:firstLine="640" w:firstLineChars="200"/>
        <w:rPr>
          <w:sz w:val="32"/>
          <w:szCs w:val="32"/>
        </w:rPr>
      </w:pPr>
      <w:r>
        <w:rPr>
          <w:rFonts w:hint="eastAsia"/>
          <w:sz w:val="32"/>
          <w:szCs w:val="32"/>
        </w:rPr>
        <w:t>老干部活动中心事业编制5人，老年大学事业编制2人。</w:t>
      </w:r>
    </w:p>
    <w:p>
      <w:pPr>
        <w:ind w:firstLine="645"/>
        <w:rPr>
          <w:sz w:val="32"/>
          <w:szCs w:val="32"/>
        </w:rPr>
      </w:pPr>
      <w:r>
        <w:rPr>
          <w:rFonts w:hint="eastAsia" w:ascii="仿宋" w:hAnsi="仿宋" w:eastAsia="仿宋" w:cs="仿宋_GB2312"/>
          <w:sz w:val="32"/>
          <w:szCs w:val="32"/>
        </w:rPr>
        <w:t>（三）</w:t>
      </w:r>
      <w:r>
        <w:rPr>
          <w:rFonts w:hint="eastAsia"/>
          <w:sz w:val="32"/>
          <w:szCs w:val="32"/>
        </w:rPr>
        <w:t>本套部门决算汇编范围的单位共1个，包括：中共襄垣县委老干部局</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2018年度部门决算公开表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ascii="黑体" w:hAnsi="黑体" w:eastAsia="黑体" w:cstheme="minorEastAsia"/>
          <w:color w:val="C00000"/>
          <w:sz w:val="32"/>
          <w:szCs w:val="32"/>
        </w:rPr>
      </w:pPr>
      <w:r>
        <w:rPr>
          <w:rFonts w:hint="eastAsia" w:ascii="黑体" w:hAnsi="黑体" w:eastAsia="黑体" w:cstheme="minorEastAsia"/>
          <w:sz w:val="32"/>
          <w:szCs w:val="32"/>
        </w:rPr>
        <w:t>第三部分  2018年度部门决算情况说明</w:t>
      </w:r>
    </w:p>
    <w:p>
      <w:pPr>
        <w:ind w:firstLine="640" w:firstLineChars="200"/>
        <w:rPr>
          <w:rFonts w:ascii="楷体" w:hAnsi="楷体" w:eastAsia="楷体" w:cstheme="minorEastAsia"/>
          <w:b/>
          <w:color w:val="FF0000"/>
          <w:sz w:val="32"/>
          <w:szCs w:val="32"/>
        </w:rPr>
      </w:pPr>
      <w:r>
        <w:rPr>
          <w:rFonts w:hint="eastAsia" w:ascii="楷体" w:hAnsi="楷体" w:eastAsia="楷体" w:cstheme="minorEastAsia"/>
          <w:bCs/>
          <w:sz w:val="32"/>
          <w:szCs w:val="32"/>
        </w:rPr>
        <w:t>一、收入决算情况说明</w:t>
      </w:r>
    </w:p>
    <w:p>
      <w:pPr>
        <w:ind w:firstLine="640" w:firstLineChars="200"/>
        <w:rPr>
          <w:rFonts w:asciiTheme="majorEastAsia" w:hAnsiTheme="majorEastAsia" w:eastAsiaTheme="majorEastAsia"/>
          <w:sz w:val="32"/>
          <w:szCs w:val="32"/>
        </w:rPr>
      </w:pPr>
      <w:r>
        <w:rPr>
          <w:rFonts w:hint="eastAsia" w:ascii="仿宋_GB2312" w:hAnsi="仿宋" w:eastAsia="仿宋_GB2312" w:cs="仿宋"/>
          <w:sz w:val="32"/>
          <w:szCs w:val="32"/>
        </w:rPr>
        <w:t>本部门2018年度收入总计</w:t>
      </w:r>
      <w:r>
        <w:rPr>
          <w:rFonts w:hint="eastAsia" w:asciiTheme="majorEastAsia" w:hAnsiTheme="majorEastAsia" w:eastAsiaTheme="majorEastAsia"/>
          <w:sz w:val="32"/>
          <w:szCs w:val="32"/>
        </w:rPr>
        <w:t>7196284.71元</w:t>
      </w:r>
      <w:r>
        <w:rPr>
          <w:rFonts w:hint="eastAsia" w:ascii="仿宋_GB2312" w:hAnsi="仿宋" w:eastAsia="仿宋_GB2312" w:cs="仿宋"/>
          <w:sz w:val="32"/>
          <w:szCs w:val="32"/>
        </w:rPr>
        <w:t>，</w:t>
      </w:r>
      <w:r>
        <w:rPr>
          <w:rFonts w:hint="eastAsia" w:asciiTheme="majorEastAsia" w:hAnsiTheme="majorEastAsia" w:eastAsiaTheme="majorEastAsia"/>
          <w:sz w:val="32"/>
          <w:szCs w:val="32"/>
        </w:rPr>
        <w:t>年初结转和结余190291.74元</w:t>
      </w:r>
      <w:r>
        <w:rPr>
          <w:rFonts w:hint="eastAsia" w:ascii="仿宋_GB2312" w:hAnsi="仿宋" w:eastAsia="仿宋_GB2312" w:cs="仿宋"/>
          <w:sz w:val="32"/>
          <w:szCs w:val="32"/>
        </w:rPr>
        <w:t>，较2017年增加1302956.31元，增长18.11%；本年收入合计</w:t>
      </w:r>
      <w:r>
        <w:rPr>
          <w:rFonts w:hint="eastAsia" w:asciiTheme="majorEastAsia" w:hAnsiTheme="majorEastAsia" w:eastAsiaTheme="majorEastAsia"/>
          <w:sz w:val="32"/>
          <w:szCs w:val="32"/>
        </w:rPr>
        <w:t>7196284.71</w:t>
      </w:r>
      <w:r>
        <w:rPr>
          <w:rFonts w:hint="eastAsia" w:ascii="仿宋_GB2312" w:hAnsi="仿宋" w:eastAsia="仿宋_GB2312" w:cs="仿宋"/>
          <w:sz w:val="32"/>
          <w:szCs w:val="32"/>
        </w:rPr>
        <w:t>元，较2016年增加209002.91元，增长2.90%，主要原因是：严格按照省市县接待标准。</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本年收入的具体构成为：财政拨款收入</w:t>
      </w:r>
      <w:r>
        <w:rPr>
          <w:rFonts w:hint="eastAsia" w:asciiTheme="majorEastAsia" w:hAnsiTheme="majorEastAsia" w:eastAsiaTheme="majorEastAsia"/>
          <w:sz w:val="32"/>
          <w:szCs w:val="32"/>
        </w:rPr>
        <w:t>6921230.39元，</w:t>
      </w:r>
      <w:r>
        <w:rPr>
          <w:rFonts w:hint="eastAsia" w:ascii="仿宋_GB2312" w:hAnsi="仿宋" w:eastAsia="仿宋_GB2312" w:cs="仿宋"/>
          <w:sz w:val="32"/>
          <w:szCs w:val="32"/>
        </w:rPr>
        <w:t xml:space="preserve">占96.18%；其他收入275054.32元，占3.82%。  </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二、支出决算情况说明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本部门2018年度支出总计</w:t>
      </w:r>
      <w:r>
        <w:rPr>
          <w:rFonts w:hint="eastAsia" w:asciiTheme="majorEastAsia" w:hAnsiTheme="majorEastAsia" w:eastAsiaTheme="majorEastAsia"/>
          <w:sz w:val="32"/>
          <w:szCs w:val="32"/>
        </w:rPr>
        <w:t>7068338.39元，</w:t>
      </w:r>
      <w:r>
        <w:rPr>
          <w:rFonts w:hint="eastAsia" w:ascii="仿宋_GB2312" w:eastAsia="仿宋_GB2312" w:hAnsiTheme="minorEastAsia" w:cstheme="minorEastAsia"/>
          <w:sz w:val="32"/>
          <w:szCs w:val="32"/>
        </w:rPr>
        <w:t>其中本年支出合计</w:t>
      </w:r>
      <w:r>
        <w:rPr>
          <w:rFonts w:hint="eastAsia" w:asciiTheme="majorEastAsia" w:hAnsiTheme="majorEastAsia" w:eastAsiaTheme="majorEastAsia"/>
          <w:sz w:val="32"/>
          <w:szCs w:val="32"/>
        </w:rPr>
        <w:t>7068338.39元，</w:t>
      </w:r>
      <w:r>
        <w:rPr>
          <w:rFonts w:hint="eastAsia" w:ascii="仿宋_GB2312" w:eastAsia="仿宋_GB2312" w:hAnsiTheme="minorEastAsia" w:cstheme="minorEastAsia"/>
          <w:sz w:val="32"/>
          <w:szCs w:val="32"/>
        </w:rPr>
        <w:t>较2017年增加1031359.59元，增长14.59%，年末结转和结余318238.06元，较2016年增加769350.69元，增长10.88%，主要原因是：严格执行中央省市县接待要求。</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本年支出的具体构成为：基本支出3083142.30元，占43.62%；项目支出3985196.09元，占56.38%；经营支出0万元，占0%；其他支出（对附属单位补助支出、上缴上级支出）0万元，占0%。</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三、一般公共预算财政拨款支出决算表公开到功能分类项级科目（05表）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本部门2018年度财政拨款本年支出年初预算数为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 xml:space="preserve">   </w:t>
      </w:r>
      <w:r>
        <w:rPr>
          <w:rFonts w:hint="eastAsia" w:ascii="仿宋_GB2312" w:eastAsia="仿宋_GB2312" w:hAnsiTheme="minorEastAsia" w:cstheme="minorEastAsia"/>
          <w:sz w:val="32"/>
          <w:szCs w:val="32"/>
        </w:rPr>
        <w:t>5132878.88元，决算数为6921350.39元，完成年初预算的134.84%。其中：社会保障和就业支出决算数6921350.39元。</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四、一般公共预算财政拨款基本支出决算表公开到经济性质分类款级科目（06表）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本部门2018年度一般公共预算财政拨款基本支出6921350.39元，其中：</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（一）工资福利支出906824.00元，较2017年增加62488.94元，增长6.89%，主要原因是：正式人员工资和临时工工资。</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（二）商品和服务支出361427.94元，较2017年减少488482.40元，下降135.15%，主要原因是：活动减少。</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（三）对个人和家庭补助支出2447230.00元，较2017年减少1214679元，下降49.63%，主要原因是：活动减少。</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（四）资本性支出3205868.45元，较2017年增加2650948.45元，主要原因是：接待活动增加。</w:t>
      </w:r>
    </w:p>
    <w:p>
      <w:pPr>
        <w:ind w:firstLine="640" w:firstLineChars="200"/>
        <w:rPr>
          <w:rFonts w:ascii="楷体" w:hAnsi="楷体" w:eastAsia="楷体" w:cstheme="minorEastAsia"/>
          <w:b/>
          <w:color w:val="FF0000"/>
          <w:sz w:val="32"/>
          <w:szCs w:val="32"/>
        </w:rPr>
      </w:pPr>
      <w:r>
        <w:rPr>
          <w:rFonts w:hint="eastAsia" w:ascii="楷体" w:hAnsi="楷体" w:eastAsia="楷体" w:cstheme="minorEastAsia"/>
          <w:bCs/>
          <w:sz w:val="32"/>
          <w:szCs w:val="32"/>
        </w:rPr>
        <w:t>五、一般公共预算财政拨款“三公”经费支出决算情况说明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本部门2018年度一般公共预算财政拨款“三公”经费支出年初预算数为1430.00元，决算数为1987.00元，完成预算的138.95%，决算数较2017年减少731元，其中：</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（一）</w:t>
      </w:r>
      <w:r>
        <w:rPr>
          <w:rFonts w:hint="eastAsia" w:ascii="仿宋_GB2312" w:eastAsia="仿宋_GB2312" w:hAnsiTheme="minorEastAsia" w:cstheme="minorEastAsia"/>
          <w:sz w:val="32"/>
          <w:szCs w:val="32"/>
        </w:rPr>
        <w:t>因公出国（境）支出年初预算数为0万元，决算数为0万元，完成预算的0%，因公出国（境）团组数为0，人数为0。决算数较2017年</w:t>
      </w:r>
      <w:r>
        <w:rPr>
          <w:rFonts w:hint="eastAsia" w:ascii="仿宋_GB2312" w:eastAsia="仿宋_GB2312" w:hAnsiTheme="minorEastAsia" w:cstheme="minorEastAsia"/>
          <w:sz w:val="32"/>
          <w:szCs w:val="32"/>
          <w:lang w:eastAsia="zh-CN"/>
        </w:rPr>
        <w:t>无变化</w:t>
      </w:r>
      <w:r>
        <w:rPr>
          <w:rFonts w:hint="eastAsia" w:ascii="仿宋_GB2312" w:eastAsia="仿宋_GB2312" w:hAnsiTheme="minorEastAsia" w:cstheme="minorEastAsia"/>
          <w:sz w:val="32"/>
          <w:szCs w:val="32"/>
        </w:rPr>
        <w:t>。</w:t>
      </w:r>
    </w:p>
    <w:p>
      <w:pPr>
        <w:ind w:firstLine="640" w:firstLineChars="200"/>
        <w:rPr>
          <w:rFonts w:hint="default"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（二）公务接待费支出年初预算数为1430.00元，决算数为1987元，完成预算的138.95%，决算数较2017年减少731元。主要原因是：专项活动减少。</w:t>
      </w:r>
      <w:r>
        <w:rPr>
          <w:rFonts w:hint="eastAsia" w:ascii="仿宋_GB2312" w:eastAsia="仿宋_GB2312" w:hAnsiTheme="minorEastAsia" w:cstheme="minorEastAsia"/>
          <w:sz w:val="32"/>
          <w:szCs w:val="32"/>
          <w:lang w:eastAsia="zh-CN"/>
        </w:rPr>
        <w:t>本年</w:t>
      </w:r>
      <w:r>
        <w:rPr>
          <w:rFonts w:hint="eastAsia" w:ascii="仿宋_GB2312" w:eastAsia="仿宋_GB2312" w:hAnsiTheme="minorEastAsia" w:cstheme="minorEastAsia"/>
          <w:sz w:val="32"/>
          <w:szCs w:val="32"/>
          <w:lang w:val="en-US" w:eastAsia="zh-CN"/>
        </w:rPr>
        <w:t>度接待批次2次，接待人员17人。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公务用车购置及运行维护费支出0万元，其中公务用车购置年初预算数为0万元，决算数为0万元，完成预算的0%，决算数较2017年增加（减少）0万元，增长（下降）0%；公务用车运行维护费支出年初预算数为0万元，决算数为0万元，完成预算的0%，决算数较2017年增加（减少）0万元，增长（下降）0%。本年度公务用车购置数0，公务用车保有量0。</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六、政府采购支出情况说明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本部门2018年度政府采购支出总额4850.00元，其中：政府采购货物支出4850.00元、政府采购工程支出0元、政府采购服务支出0元。授予中小企业合同金额0元，占政府采购支出总额的0%。</w:t>
      </w:r>
    </w:p>
    <w:p>
      <w:pPr>
        <w:ind w:firstLine="640" w:firstLineChars="200"/>
        <w:rPr>
          <w:rFonts w:ascii="楷体" w:hAnsi="楷体" w:eastAsia="楷体" w:cstheme="minorEastAsia"/>
          <w:b/>
          <w:color w:val="FF0000"/>
          <w:sz w:val="32"/>
          <w:szCs w:val="32"/>
        </w:rPr>
      </w:pPr>
      <w:r>
        <w:rPr>
          <w:rFonts w:hint="eastAsia" w:ascii="楷体" w:hAnsi="楷体" w:eastAsia="楷体" w:cstheme="minorEastAsia"/>
          <w:bCs/>
          <w:sz w:val="32"/>
          <w:szCs w:val="32"/>
        </w:rPr>
        <w:t>七、机关运行经费执行情况说明</w:t>
      </w:r>
    </w:p>
    <w:p>
      <w:pPr>
        <w:pStyle w:val="4"/>
        <w:widowControl/>
        <w:spacing w:before="0" w:beforeAutospacing="0" w:after="0" w:afterAutospacing="0" w:line="30" w:lineRule="atLeast"/>
        <w:ind w:firstLine="640"/>
        <w:rPr>
          <w:rFonts w:ascii="宋体" w:hAnsi="宋体" w:cs="Arial"/>
          <w:color w:val="000000"/>
          <w:sz w:val="22"/>
          <w:szCs w:val="22"/>
        </w:rPr>
      </w:pPr>
      <w:r>
        <w:rPr>
          <w:rFonts w:hint="eastAsia" w:ascii="仿宋_GB2312" w:hAnsi="仿宋" w:eastAsia="仿宋_GB2312" w:cstheme="minorEastAsia"/>
          <w:sz w:val="32"/>
          <w:szCs w:val="32"/>
        </w:rPr>
        <w:t>本部门2018年度机关运行经费支出</w:t>
      </w:r>
      <w:r>
        <w:rPr>
          <w:rFonts w:hint="eastAsia" w:ascii="仿宋_GB2312" w:eastAsia="仿宋_GB2312" w:hAnsiTheme="minorEastAsia" w:cstheme="minorEastAsia"/>
          <w:kern w:val="2"/>
          <w:sz w:val="32"/>
          <w:szCs w:val="32"/>
        </w:rPr>
        <w:t>125760.30</w:t>
      </w:r>
      <w:r>
        <w:rPr>
          <w:rFonts w:hint="eastAsia" w:ascii="仿宋_GB2312" w:hAnsi="仿宋" w:eastAsia="仿宋_GB2312" w:cstheme="minorEastAsia"/>
          <w:sz w:val="32"/>
          <w:szCs w:val="32"/>
        </w:rPr>
        <w:t xml:space="preserve">元，较2017年减少63329.7元，下降50.36%，主要原因是：接待活动减少。 </w:t>
      </w:r>
    </w:p>
    <w:p>
      <w:pPr>
        <w:ind w:firstLine="640" w:firstLineChars="200"/>
        <w:rPr>
          <w:rFonts w:ascii="楷体" w:hAnsi="楷体" w:eastAsia="楷体" w:cstheme="minorEastAsia"/>
          <w:b/>
          <w:color w:val="FF0000"/>
          <w:sz w:val="32"/>
          <w:szCs w:val="32"/>
        </w:rPr>
      </w:pPr>
      <w:r>
        <w:rPr>
          <w:rStyle w:val="6"/>
          <w:rFonts w:hint="eastAsia" w:ascii="楷体" w:hAnsi="楷体" w:eastAsia="楷体" w:cs="宋体"/>
          <w:b w:val="0"/>
          <w:bCs/>
          <w:color w:val="333333"/>
          <w:sz w:val="32"/>
          <w:szCs w:val="32"/>
        </w:rPr>
        <w:t>八、国有资产占用情况说明</w:t>
      </w:r>
    </w:p>
    <w:p>
      <w:pPr>
        <w:pStyle w:val="4"/>
        <w:widowControl/>
        <w:spacing w:before="0" w:beforeAutospacing="0" w:after="0" w:afterAutospacing="0" w:line="30" w:lineRule="atLeast"/>
        <w:ind w:firstLine="640"/>
        <w:rPr>
          <w:rFonts w:ascii="仿宋_GB2312" w:hAnsi="仿宋" w:eastAsia="仿宋_GB2312" w:cstheme="minorEastAsia"/>
          <w:kern w:val="2"/>
          <w:sz w:val="32"/>
          <w:szCs w:val="32"/>
        </w:rPr>
      </w:pPr>
      <w:r>
        <w:rPr>
          <w:rFonts w:hint="eastAsia" w:ascii="仿宋_GB2312" w:hAnsi="仿宋" w:eastAsia="仿宋_GB2312" w:cstheme="minorEastAsia"/>
          <w:kern w:val="2"/>
          <w:sz w:val="32"/>
          <w:szCs w:val="32"/>
        </w:rPr>
        <w:t>本部门共有车辆数合计1辆；单价50万元以上通用设备0台/套，共计0元；单价100万元以上专用设备0台/套，0元。</w:t>
      </w:r>
    </w:p>
    <w:p>
      <w:pPr>
        <w:ind w:firstLine="640" w:firstLineChars="200"/>
        <w:rPr>
          <w:rStyle w:val="6"/>
          <w:rFonts w:ascii="楷体" w:hAnsi="楷体" w:eastAsia="楷体" w:cs="宋体"/>
          <w:b w:val="0"/>
          <w:bCs/>
          <w:color w:val="333333"/>
          <w:kern w:val="0"/>
          <w:sz w:val="32"/>
          <w:szCs w:val="32"/>
        </w:rPr>
      </w:pPr>
      <w:r>
        <w:rPr>
          <w:rStyle w:val="6"/>
          <w:rFonts w:hint="eastAsia" w:ascii="楷体" w:hAnsi="楷体" w:eastAsia="楷体" w:cs="宋体"/>
          <w:b w:val="0"/>
          <w:bCs/>
          <w:color w:val="333333"/>
          <w:kern w:val="0"/>
          <w:sz w:val="32"/>
          <w:szCs w:val="32"/>
        </w:rPr>
        <w:t>九、重点绩效评价结果等预算绩效情况说明</w:t>
      </w:r>
    </w:p>
    <w:p>
      <w:pPr>
        <w:pStyle w:val="4"/>
        <w:widowControl/>
        <w:spacing w:before="0" w:beforeAutospacing="0" w:after="0" w:afterAutospacing="0" w:line="30" w:lineRule="atLeast"/>
        <w:ind w:firstLine="640"/>
        <w:rPr>
          <w:rFonts w:ascii="仿宋_GB2312" w:hAnsi="仿宋" w:eastAsia="仿宋_GB2312" w:cstheme="minorEastAsia"/>
          <w:kern w:val="2"/>
          <w:sz w:val="32"/>
          <w:szCs w:val="32"/>
        </w:rPr>
      </w:pPr>
      <w:r>
        <w:rPr>
          <w:rFonts w:hint="eastAsia" w:ascii="仿宋_GB2312" w:hAnsi="仿宋" w:eastAsia="仿宋_GB2312" w:cstheme="minorEastAsia"/>
          <w:kern w:val="2"/>
          <w:sz w:val="32"/>
          <w:szCs w:val="32"/>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87EB6"/>
    <w:rsid w:val="0001019D"/>
    <w:rsid w:val="00085469"/>
    <w:rsid w:val="0010176C"/>
    <w:rsid w:val="0011026C"/>
    <w:rsid w:val="00121209"/>
    <w:rsid w:val="001330DE"/>
    <w:rsid w:val="0016003D"/>
    <w:rsid w:val="00166769"/>
    <w:rsid w:val="00181DCA"/>
    <w:rsid w:val="001C0185"/>
    <w:rsid w:val="001C0E54"/>
    <w:rsid w:val="001D6F0D"/>
    <w:rsid w:val="001F16C7"/>
    <w:rsid w:val="0025160B"/>
    <w:rsid w:val="002640E8"/>
    <w:rsid w:val="00291779"/>
    <w:rsid w:val="002A0325"/>
    <w:rsid w:val="002A78F3"/>
    <w:rsid w:val="002B74C9"/>
    <w:rsid w:val="003343CB"/>
    <w:rsid w:val="00353333"/>
    <w:rsid w:val="00356142"/>
    <w:rsid w:val="00365C71"/>
    <w:rsid w:val="003C65B8"/>
    <w:rsid w:val="00411B5C"/>
    <w:rsid w:val="00462C32"/>
    <w:rsid w:val="00481790"/>
    <w:rsid w:val="004A376B"/>
    <w:rsid w:val="00553F3D"/>
    <w:rsid w:val="005B0210"/>
    <w:rsid w:val="005B0F3C"/>
    <w:rsid w:val="005F2480"/>
    <w:rsid w:val="00643BE9"/>
    <w:rsid w:val="00654829"/>
    <w:rsid w:val="0067479C"/>
    <w:rsid w:val="00696E76"/>
    <w:rsid w:val="00721EB4"/>
    <w:rsid w:val="00751A1A"/>
    <w:rsid w:val="00760ADC"/>
    <w:rsid w:val="007634B0"/>
    <w:rsid w:val="00764DD4"/>
    <w:rsid w:val="007F0BEA"/>
    <w:rsid w:val="00835152"/>
    <w:rsid w:val="008524E1"/>
    <w:rsid w:val="008934C9"/>
    <w:rsid w:val="00893847"/>
    <w:rsid w:val="008C542A"/>
    <w:rsid w:val="008D54EE"/>
    <w:rsid w:val="008D5CA9"/>
    <w:rsid w:val="00942F90"/>
    <w:rsid w:val="009436C0"/>
    <w:rsid w:val="00956870"/>
    <w:rsid w:val="00985C9A"/>
    <w:rsid w:val="009B6471"/>
    <w:rsid w:val="00A60DC9"/>
    <w:rsid w:val="00A61D97"/>
    <w:rsid w:val="00A67C39"/>
    <w:rsid w:val="00AF37E4"/>
    <w:rsid w:val="00B146E4"/>
    <w:rsid w:val="00B6569A"/>
    <w:rsid w:val="00B84099"/>
    <w:rsid w:val="00BD7E57"/>
    <w:rsid w:val="00BE38BF"/>
    <w:rsid w:val="00C202D6"/>
    <w:rsid w:val="00C323B4"/>
    <w:rsid w:val="00C83F7E"/>
    <w:rsid w:val="00C91007"/>
    <w:rsid w:val="00C92A03"/>
    <w:rsid w:val="00CB3A60"/>
    <w:rsid w:val="00CC30DB"/>
    <w:rsid w:val="00CF14FA"/>
    <w:rsid w:val="00D25442"/>
    <w:rsid w:val="00DC3D8D"/>
    <w:rsid w:val="00E51895"/>
    <w:rsid w:val="00E74F60"/>
    <w:rsid w:val="00F171FE"/>
    <w:rsid w:val="00F348BB"/>
    <w:rsid w:val="00F861AB"/>
    <w:rsid w:val="00FE0736"/>
    <w:rsid w:val="014A06B6"/>
    <w:rsid w:val="01DA336E"/>
    <w:rsid w:val="05E42E29"/>
    <w:rsid w:val="0C5A5250"/>
    <w:rsid w:val="0C64513E"/>
    <w:rsid w:val="0DE649EC"/>
    <w:rsid w:val="0EE25EB1"/>
    <w:rsid w:val="10CB3E8D"/>
    <w:rsid w:val="16510D0A"/>
    <w:rsid w:val="1B4A6025"/>
    <w:rsid w:val="1E107510"/>
    <w:rsid w:val="209E0EC3"/>
    <w:rsid w:val="22140CC1"/>
    <w:rsid w:val="2A937DAC"/>
    <w:rsid w:val="2DB60033"/>
    <w:rsid w:val="2F754CA8"/>
    <w:rsid w:val="341824CB"/>
    <w:rsid w:val="343F3937"/>
    <w:rsid w:val="34D53928"/>
    <w:rsid w:val="37015ED3"/>
    <w:rsid w:val="3F5C42DA"/>
    <w:rsid w:val="431E5C9F"/>
    <w:rsid w:val="43E475B8"/>
    <w:rsid w:val="458B37F5"/>
    <w:rsid w:val="48832669"/>
    <w:rsid w:val="48E87EB6"/>
    <w:rsid w:val="4A4F3891"/>
    <w:rsid w:val="4D9B3CEE"/>
    <w:rsid w:val="52567629"/>
    <w:rsid w:val="582B68F4"/>
    <w:rsid w:val="5AA558B8"/>
    <w:rsid w:val="5D083F24"/>
    <w:rsid w:val="60860A87"/>
    <w:rsid w:val="60B46440"/>
    <w:rsid w:val="635C762A"/>
    <w:rsid w:val="6B7D26A9"/>
    <w:rsid w:val="6DB64B5B"/>
    <w:rsid w:val="71FC58C7"/>
    <w:rsid w:val="7C7014A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580</Words>
  <Characters>3308</Characters>
  <Lines>27</Lines>
  <Paragraphs>7</Paragraphs>
  <TotalTime>0</TotalTime>
  <ScaleCrop>false</ScaleCrop>
  <LinksUpToDate>false</LinksUpToDate>
  <CharactersWithSpaces>3881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2021-05-27T02:55:00Z</dcterms:created>
  <dc:creator>亚亚</dc:creator>
  <cp:lastModifiedBy>Administrator</cp:lastModifiedBy>
  <cp:lastPrinted>2019-09-11T06:01:00Z</cp:lastPrinted>
  <dcterms:modified xsi:type="dcterms:W3CDTF">2022-01-14T10:28:31Z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