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color w:val="000000" w:themeColor="text1"/>
          <w:sz w:val="24"/>
        </w:rPr>
      </w:pPr>
      <w:r>
        <w:rPr>
          <w:rFonts w:hint="eastAsia" w:ascii="黑体" w:hAnsi="黑体" w:eastAsia="黑体" w:cstheme="minorEastAsia"/>
          <w:color w:val="000000" w:themeColor="text1"/>
          <w:sz w:val="24"/>
        </w:rPr>
        <w:t>附件1：</w:t>
      </w:r>
      <w:r>
        <w:rPr>
          <w:rFonts w:ascii="黑体" w:hAnsi="黑体" w:eastAsia="黑体" w:cstheme="minorEastAsia"/>
          <w:color w:val="000000" w:themeColor="text1"/>
          <w:sz w:val="24"/>
        </w:rPr>
        <w:t xml:space="preserve"> </w:t>
      </w:r>
    </w:p>
    <w:p>
      <w:pPr>
        <w:ind w:firstLine="640" w:firstLineChars="200"/>
        <w:jc w:val="center"/>
        <w:rPr>
          <w:rFonts w:asciiTheme="minorEastAsia" w:hAnsiTheme="minorEastAsia" w:cstheme="minorEastAsia"/>
          <w:color w:val="000000" w:themeColor="text1"/>
          <w:sz w:val="32"/>
          <w:szCs w:val="32"/>
        </w:rPr>
      </w:pPr>
    </w:p>
    <w:p>
      <w:pPr>
        <w:ind w:firstLine="640" w:firstLineChars="200"/>
        <w:jc w:val="center"/>
        <w:rPr>
          <w:rFonts w:asciiTheme="minorEastAsia" w:hAnsiTheme="minorEastAsia" w:cstheme="minorEastAsia"/>
          <w:color w:val="000000" w:themeColor="text1"/>
          <w:sz w:val="32"/>
          <w:szCs w:val="32"/>
        </w:rPr>
      </w:pPr>
    </w:p>
    <w:p>
      <w:pPr>
        <w:ind w:firstLine="640" w:firstLineChars="200"/>
        <w:jc w:val="center"/>
        <w:rPr>
          <w:rFonts w:asciiTheme="minorEastAsia" w:hAnsiTheme="minorEastAsia" w:cstheme="minorEastAsia"/>
          <w:color w:val="000000" w:themeColor="text1"/>
          <w:sz w:val="32"/>
          <w:szCs w:val="32"/>
        </w:rPr>
      </w:pPr>
    </w:p>
    <w:p>
      <w:pPr>
        <w:ind w:firstLine="640" w:firstLineChars="200"/>
        <w:jc w:val="center"/>
        <w:rPr>
          <w:rFonts w:asciiTheme="minorEastAsia" w:hAnsiTheme="minorEastAsia" w:cstheme="minorEastAsia"/>
          <w:color w:val="000000" w:themeColor="text1"/>
          <w:sz w:val="32"/>
          <w:szCs w:val="32"/>
        </w:rPr>
      </w:pPr>
    </w:p>
    <w:p>
      <w:pPr>
        <w:ind w:firstLine="640" w:firstLineChars="200"/>
        <w:jc w:val="center"/>
        <w:rPr>
          <w:rFonts w:asciiTheme="minorEastAsia" w:hAnsiTheme="minorEastAsia" w:cstheme="minorEastAsia"/>
          <w:color w:val="000000" w:themeColor="text1"/>
          <w:sz w:val="32"/>
          <w:szCs w:val="32"/>
        </w:rPr>
      </w:pPr>
    </w:p>
    <w:p>
      <w:pPr>
        <w:rPr>
          <w:rFonts w:ascii="黑体" w:hAnsi="黑体" w:eastAsia="黑体" w:cstheme="minorEastAsia"/>
          <w:color w:val="000000" w:themeColor="text1"/>
          <w:sz w:val="52"/>
          <w:szCs w:val="52"/>
        </w:rPr>
      </w:pPr>
    </w:p>
    <w:p>
      <w:pPr>
        <w:jc w:val="center"/>
        <w:rPr>
          <w:rFonts w:ascii="黑体" w:hAnsi="黑体" w:eastAsia="黑体" w:cstheme="minorEastAsia"/>
          <w:color w:val="000000" w:themeColor="text1"/>
          <w:sz w:val="52"/>
          <w:szCs w:val="52"/>
        </w:rPr>
      </w:pPr>
      <w:r>
        <w:rPr>
          <w:rFonts w:hint="eastAsia" w:ascii="黑体" w:hAnsi="黑体" w:eastAsia="黑体" w:cstheme="minorEastAsia"/>
          <w:color w:val="000000" w:themeColor="text1"/>
          <w:sz w:val="52"/>
          <w:szCs w:val="52"/>
        </w:rPr>
        <w:t>襄垣县</w:t>
      </w:r>
      <w:r>
        <w:rPr>
          <w:rFonts w:hint="eastAsia" w:ascii="Arial" w:hAnsi="Arial" w:eastAsia="黑体" w:cs="Arial"/>
          <w:color w:val="000000" w:themeColor="text1"/>
          <w:sz w:val="52"/>
          <w:szCs w:val="52"/>
        </w:rPr>
        <w:t>综合检验检测中心</w:t>
      </w:r>
    </w:p>
    <w:p>
      <w:pPr>
        <w:ind w:firstLine="1040" w:firstLineChars="200"/>
        <w:rPr>
          <w:rFonts w:ascii="黑体" w:hAnsi="黑体" w:eastAsia="黑体" w:cstheme="minorEastAsia"/>
          <w:color w:val="000000" w:themeColor="text1"/>
          <w:sz w:val="52"/>
          <w:szCs w:val="52"/>
        </w:rPr>
      </w:pPr>
      <w:r>
        <w:rPr>
          <w:rFonts w:hint="eastAsia" w:ascii="黑体" w:hAnsi="黑体" w:eastAsia="黑体" w:cstheme="minorEastAsia"/>
          <w:color w:val="000000" w:themeColor="text1"/>
          <w:sz w:val="52"/>
          <w:szCs w:val="52"/>
        </w:rPr>
        <w:t>201</w:t>
      </w:r>
      <w:r>
        <w:rPr>
          <w:rFonts w:ascii="黑体" w:hAnsi="黑体" w:eastAsia="黑体" w:cstheme="minorEastAsia"/>
          <w:color w:val="000000" w:themeColor="text1"/>
          <w:sz w:val="52"/>
          <w:szCs w:val="52"/>
        </w:rPr>
        <w:t>8</w:t>
      </w:r>
      <w:r>
        <w:rPr>
          <w:rFonts w:hint="eastAsia" w:ascii="黑体" w:hAnsi="黑体" w:eastAsia="黑体" w:cstheme="minorEastAsia"/>
          <w:color w:val="000000" w:themeColor="text1"/>
          <w:sz w:val="52"/>
          <w:szCs w:val="52"/>
        </w:rPr>
        <w:t>年度部门决算公开说明</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ind w:firstLine="640" w:firstLineChars="200"/>
        <w:jc w:val="center"/>
        <w:rPr>
          <w:rFonts w:asciiTheme="minorEastAsia" w:hAnsiTheme="minorEastAsia" w:cstheme="minorEastAsia"/>
          <w:color w:val="000000" w:themeColor="text1"/>
          <w:sz w:val="32"/>
          <w:szCs w:val="32"/>
        </w:rPr>
      </w:pPr>
    </w:p>
    <w:p>
      <w:pPr>
        <w:ind w:firstLine="640" w:firstLineChars="200"/>
        <w:jc w:val="center"/>
        <w:rPr>
          <w:rFonts w:asciiTheme="minorEastAsia" w:hAnsiTheme="minorEastAsia" w:cstheme="minorEastAsia"/>
          <w:color w:val="000000" w:themeColor="text1"/>
          <w:sz w:val="32"/>
          <w:szCs w:val="32"/>
        </w:rPr>
      </w:pPr>
    </w:p>
    <w:p>
      <w:pPr>
        <w:ind w:firstLine="640" w:firstLineChars="200"/>
        <w:jc w:val="center"/>
        <w:rPr>
          <w:rFonts w:asciiTheme="minorEastAsia" w:hAnsiTheme="minorEastAsia" w:cstheme="minorEastAsia"/>
          <w:color w:val="000000" w:themeColor="text1"/>
          <w:sz w:val="32"/>
          <w:szCs w:val="32"/>
        </w:rPr>
      </w:pPr>
    </w:p>
    <w:p>
      <w:pPr>
        <w:ind w:firstLine="640" w:firstLineChars="200"/>
        <w:jc w:val="center"/>
        <w:rPr>
          <w:rFonts w:asciiTheme="minorEastAsia" w:hAnsiTheme="minorEastAsia" w:cstheme="minorEastAsia"/>
          <w:color w:val="000000" w:themeColor="text1"/>
          <w:sz w:val="32"/>
          <w:szCs w:val="32"/>
        </w:rPr>
      </w:pPr>
    </w:p>
    <w:p>
      <w:pPr>
        <w:ind w:firstLine="640" w:firstLineChars="200"/>
        <w:jc w:val="center"/>
        <w:rPr>
          <w:rFonts w:asciiTheme="minorEastAsia" w:hAnsiTheme="minorEastAsia" w:cstheme="minorEastAsia"/>
          <w:color w:val="000000" w:themeColor="text1"/>
          <w:sz w:val="32"/>
          <w:szCs w:val="32"/>
        </w:rPr>
      </w:pPr>
    </w:p>
    <w:p>
      <w:pPr>
        <w:ind w:firstLine="640" w:firstLineChars="200"/>
        <w:jc w:val="center"/>
        <w:rPr>
          <w:rFonts w:asciiTheme="minorEastAsia" w:hAnsiTheme="minorEastAsia" w:cstheme="minorEastAsia"/>
          <w:color w:val="000000" w:themeColor="text1"/>
          <w:sz w:val="32"/>
          <w:szCs w:val="32"/>
        </w:rPr>
      </w:pPr>
    </w:p>
    <w:p>
      <w:pPr>
        <w:ind w:firstLine="640" w:firstLineChars="200"/>
        <w:jc w:val="center"/>
        <w:rPr>
          <w:rFonts w:asciiTheme="minorEastAsia" w:hAnsiTheme="minorEastAsia" w:cstheme="minorEastAsia"/>
          <w:color w:val="000000" w:themeColor="text1"/>
          <w:sz w:val="32"/>
          <w:szCs w:val="32"/>
        </w:rPr>
      </w:pPr>
    </w:p>
    <w:p>
      <w:pPr>
        <w:ind w:firstLine="640" w:firstLineChars="200"/>
        <w:jc w:val="center"/>
        <w:rPr>
          <w:rFonts w:asciiTheme="minorEastAsia" w:hAnsiTheme="minorEastAsia" w:cstheme="minorEastAsia"/>
          <w:color w:val="000000" w:themeColor="text1"/>
          <w:sz w:val="32"/>
          <w:szCs w:val="32"/>
        </w:rPr>
      </w:pPr>
    </w:p>
    <w:p>
      <w:pPr>
        <w:ind w:firstLine="2880" w:firstLineChars="900"/>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201</w:t>
      </w:r>
      <w:r>
        <w:rPr>
          <w:rFonts w:hint="eastAsia" w:ascii="黑体" w:hAnsi="黑体" w:eastAsia="黑体" w:cstheme="minorEastAsia"/>
          <w:color w:val="000000" w:themeColor="text1"/>
          <w:sz w:val="32"/>
          <w:szCs w:val="32"/>
          <w:lang w:val="en-US" w:eastAsia="zh-CN"/>
        </w:rPr>
        <w:t>9</w:t>
      </w:r>
      <w:r>
        <w:rPr>
          <w:rFonts w:hint="eastAsia" w:ascii="黑体" w:hAnsi="黑体" w:eastAsia="黑体" w:cstheme="minorEastAsia"/>
          <w:color w:val="000000" w:themeColor="text1"/>
          <w:sz w:val="32"/>
          <w:szCs w:val="32"/>
        </w:rPr>
        <w:t>年9月11日</w:t>
      </w:r>
    </w:p>
    <w:p>
      <w:pPr>
        <w:ind w:firstLine="640" w:firstLineChars="200"/>
        <w:jc w:val="center"/>
        <w:rPr>
          <w:rFonts w:asciiTheme="minorEastAsia" w:hAnsiTheme="minorEastAsia" w:cstheme="minorEastAsia"/>
          <w:color w:val="000000" w:themeColor="text1"/>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color w:val="000000" w:themeColor="text1"/>
          <w:sz w:val="32"/>
          <w:szCs w:val="32"/>
        </w:rPr>
      </w:pPr>
    </w:p>
    <w:p>
      <w:pPr>
        <w:spacing w:beforeLines="50" w:afterLines="100"/>
        <w:ind w:firstLine="880" w:firstLineChars="200"/>
        <w:jc w:val="center"/>
        <w:rPr>
          <w:rFonts w:ascii="黑体" w:hAnsi="黑体" w:eastAsia="黑体" w:cstheme="minorEastAsia"/>
          <w:color w:val="000000" w:themeColor="text1"/>
          <w:sz w:val="44"/>
          <w:szCs w:val="44"/>
        </w:rPr>
      </w:pPr>
      <w:r>
        <w:rPr>
          <w:rFonts w:hint="eastAsia" w:ascii="黑体" w:hAnsi="黑体" w:eastAsia="黑体" w:cstheme="minorEastAsia"/>
          <w:color w:val="000000" w:themeColor="text1"/>
          <w:sz w:val="44"/>
          <w:szCs w:val="44"/>
        </w:rPr>
        <w:t>目 录</w:t>
      </w:r>
    </w:p>
    <w:p>
      <w:pPr>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第一部分  部门概况</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一、部门主要职责</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二、部门基本情况</w:t>
      </w:r>
    </w:p>
    <w:p>
      <w:pPr>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第二部分  201</w:t>
      </w:r>
      <w:r>
        <w:rPr>
          <w:rFonts w:ascii="黑体" w:hAnsi="黑体" w:eastAsia="黑体" w:cstheme="minorEastAsia"/>
          <w:color w:val="000000" w:themeColor="text1"/>
          <w:sz w:val="32"/>
          <w:szCs w:val="32"/>
        </w:rPr>
        <w:t>8</w:t>
      </w:r>
      <w:r>
        <w:rPr>
          <w:rFonts w:hint="eastAsia" w:ascii="黑体" w:hAnsi="黑体" w:eastAsia="黑体" w:cstheme="minorEastAsia"/>
          <w:color w:val="000000" w:themeColor="text1"/>
          <w:sz w:val="32"/>
          <w:szCs w:val="32"/>
        </w:rPr>
        <w:t>年度部门决算公开表</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一、收入支出决算总表</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二、收入决算表</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三、支出决算表</w:t>
      </w:r>
    </w:p>
    <w:p>
      <w:pPr>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    四、财政拨款收入支出决算总表</w:t>
      </w:r>
    </w:p>
    <w:p>
      <w:pPr>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    五、一般公共预算财政拨款支出决算表（一）</w:t>
      </w:r>
    </w:p>
    <w:p>
      <w:pPr>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    六、一般公共预算财政拨款支出决算表（二）</w:t>
      </w:r>
    </w:p>
    <w:p>
      <w:pPr>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    七、一般公共预算财政拨款“三公”经费支出决算表</w:t>
      </w:r>
    </w:p>
    <w:p>
      <w:pPr>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    八、政府性基金预算财政拨款收入支出决算表</w:t>
      </w:r>
    </w:p>
    <w:p>
      <w:pPr>
        <w:ind w:firstLine="63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九、部门决算公开相关信息统计表</w:t>
      </w:r>
    </w:p>
    <w:p>
      <w:pPr>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第三部分  201</w:t>
      </w:r>
      <w:r>
        <w:rPr>
          <w:rFonts w:ascii="黑体" w:hAnsi="黑体" w:eastAsia="黑体" w:cstheme="minorEastAsia"/>
          <w:color w:val="000000" w:themeColor="text1"/>
          <w:sz w:val="32"/>
          <w:szCs w:val="32"/>
        </w:rPr>
        <w:t>8</w:t>
      </w:r>
      <w:r>
        <w:rPr>
          <w:rFonts w:hint="eastAsia" w:ascii="黑体" w:hAnsi="黑体" w:eastAsia="黑体" w:cstheme="minorEastAsia"/>
          <w:color w:val="000000" w:themeColor="text1"/>
          <w:sz w:val="32"/>
          <w:szCs w:val="32"/>
        </w:rPr>
        <w:t>年度部门决算情况说明</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一、收入决算情况说明</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二、支出决算情况说明</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三、一般公共预算财政拨款支出决算表公开到功能分类项级科目</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四、一般公共预算财政拨款基本支出决算表公开到经济性质分类款级科目</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五、一般公共预算财政拨款“三公”经费支出决算情况说明</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六、政府采购支出情况说明</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七、机关运行经费执行情况说明</w:t>
      </w:r>
    </w:p>
    <w:p>
      <w:pPr>
        <w:pStyle w:val="4"/>
        <w:widowControl/>
        <w:spacing w:before="0" w:beforeAutospacing="0" w:after="0" w:afterAutospacing="0" w:line="30" w:lineRule="atLeast"/>
        <w:ind w:firstLine="640" w:firstLineChars="200"/>
        <w:rPr>
          <w:rFonts w:ascii="仿宋_GB2312" w:eastAsia="仿宋_GB2312" w:hAnsiTheme="minorEastAsia" w:cstheme="minorEastAsia"/>
          <w:color w:val="000000" w:themeColor="text1"/>
          <w:kern w:val="2"/>
          <w:sz w:val="32"/>
          <w:szCs w:val="32"/>
        </w:rPr>
      </w:pPr>
      <w:r>
        <w:rPr>
          <w:rFonts w:hint="eastAsia" w:ascii="仿宋_GB2312" w:eastAsia="仿宋_GB2312" w:hAnsiTheme="minorEastAsia" w:cstheme="minorEastAsia"/>
          <w:color w:val="000000" w:themeColor="text1"/>
          <w:sz w:val="32"/>
          <w:szCs w:val="32"/>
        </w:rPr>
        <w:t>八、</w:t>
      </w:r>
      <w:r>
        <w:rPr>
          <w:rFonts w:hint="eastAsia" w:ascii="仿宋_GB2312" w:eastAsia="仿宋_GB2312" w:hAnsiTheme="minorEastAsia" w:cstheme="minorEastAsia"/>
          <w:color w:val="000000" w:themeColor="text1"/>
          <w:kern w:val="2"/>
          <w:sz w:val="32"/>
          <w:szCs w:val="32"/>
        </w:rPr>
        <w:t>国有资产占用情况说明</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九、重点绩效评价结果等预算绩效情况说明</w:t>
      </w:r>
    </w:p>
    <w:p>
      <w:pPr>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第四部分  名词解释</w:t>
      </w:r>
    </w:p>
    <w:p>
      <w:pPr>
        <w:rPr>
          <w:rFonts w:asciiTheme="minorEastAsia" w:hAnsiTheme="minorEastAsia" w:cstheme="minorEastAsia"/>
          <w:color w:val="000000" w:themeColor="text1"/>
          <w:sz w:val="32"/>
          <w:szCs w:val="32"/>
        </w:rPr>
      </w:pPr>
    </w:p>
    <w:p>
      <w:pPr>
        <w:rPr>
          <w:rFonts w:asciiTheme="minorEastAsia" w:hAnsiTheme="minorEastAsia" w:cstheme="minorEastAsia"/>
          <w:color w:val="000000" w:themeColor="text1"/>
          <w:sz w:val="32"/>
          <w:szCs w:val="32"/>
        </w:rPr>
      </w:pPr>
    </w:p>
    <w:p>
      <w:pPr>
        <w:rPr>
          <w:rFonts w:asciiTheme="minorEastAsia" w:hAnsiTheme="minorEastAsia" w:cstheme="minorEastAsia"/>
          <w:color w:val="000000" w:themeColor="text1"/>
          <w:sz w:val="32"/>
          <w:szCs w:val="32"/>
        </w:rPr>
      </w:pPr>
    </w:p>
    <w:p>
      <w:pPr>
        <w:rPr>
          <w:rFonts w:asciiTheme="minorEastAsia" w:hAnsiTheme="minorEastAsia" w:cstheme="minorEastAsia"/>
          <w:color w:val="000000" w:themeColor="text1"/>
          <w:sz w:val="32"/>
          <w:szCs w:val="32"/>
        </w:rPr>
      </w:pPr>
    </w:p>
    <w:p>
      <w:pPr>
        <w:rPr>
          <w:rFonts w:asciiTheme="minorEastAsia" w:hAnsiTheme="minorEastAsia" w:cstheme="minorEastAsia"/>
          <w:color w:val="000000" w:themeColor="text1"/>
          <w:sz w:val="32"/>
          <w:szCs w:val="32"/>
        </w:rPr>
      </w:pPr>
    </w:p>
    <w:p>
      <w:pPr>
        <w:rPr>
          <w:rFonts w:asciiTheme="minorEastAsia" w:hAnsiTheme="minorEastAsia" w:cstheme="minorEastAsia"/>
          <w:color w:val="000000" w:themeColor="text1"/>
          <w:sz w:val="32"/>
          <w:szCs w:val="32"/>
        </w:rPr>
      </w:pPr>
    </w:p>
    <w:p>
      <w:pPr>
        <w:rPr>
          <w:rFonts w:asciiTheme="minorEastAsia" w:hAnsiTheme="minorEastAsia" w:cstheme="minorEastAsia"/>
          <w:color w:val="000000" w:themeColor="text1"/>
          <w:sz w:val="32"/>
          <w:szCs w:val="32"/>
        </w:rPr>
      </w:pPr>
    </w:p>
    <w:p>
      <w:pPr>
        <w:rPr>
          <w:rFonts w:asciiTheme="minorEastAsia" w:hAnsiTheme="minorEastAsia" w:cstheme="minorEastAsia"/>
          <w:color w:val="000000" w:themeColor="text1"/>
          <w:sz w:val="32"/>
          <w:szCs w:val="32"/>
        </w:rPr>
      </w:pPr>
    </w:p>
    <w:p>
      <w:pPr>
        <w:rPr>
          <w:rFonts w:asciiTheme="minorEastAsia" w:hAnsiTheme="minorEastAsia" w:cstheme="minorEastAsia"/>
          <w:color w:val="000000" w:themeColor="text1"/>
          <w:sz w:val="32"/>
          <w:szCs w:val="32"/>
        </w:rPr>
      </w:pP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rPr>
          <w:rFonts w:asciiTheme="minorEastAsia" w:hAnsiTheme="minorEastAsia" w:cstheme="minorEastAsia"/>
          <w:color w:val="000000" w:themeColor="text1"/>
          <w:sz w:val="32"/>
          <w:szCs w:val="32"/>
        </w:rPr>
      </w:pPr>
    </w:p>
    <w:p>
      <w:pPr>
        <w:ind w:firstLine="640" w:firstLineChars="200"/>
        <w:rPr>
          <w:rFonts w:ascii="黑体" w:hAnsi="黑体" w:eastAsia="黑体" w:cstheme="minorEastAsia"/>
          <w:color w:val="000000" w:themeColor="text1"/>
          <w:sz w:val="32"/>
          <w:szCs w:val="32"/>
        </w:rPr>
      </w:pPr>
    </w:p>
    <w:p>
      <w:pPr>
        <w:ind w:firstLine="643" w:firstLineChars="200"/>
        <w:rPr>
          <w:rFonts w:ascii="黑体" w:hAnsi="黑体" w:eastAsia="黑体" w:cstheme="minorEastAsia"/>
          <w:b/>
          <w:bCs/>
          <w:color w:val="000000" w:themeColor="text1"/>
          <w:sz w:val="32"/>
          <w:szCs w:val="32"/>
        </w:rPr>
      </w:pPr>
    </w:p>
    <w:p>
      <w:pPr>
        <w:ind w:firstLine="643" w:firstLineChars="200"/>
        <w:rPr>
          <w:rFonts w:ascii="黑体" w:hAnsi="黑体" w:eastAsia="黑体" w:cstheme="minorEastAsia"/>
          <w:b/>
          <w:bCs/>
          <w:color w:val="000000" w:themeColor="text1"/>
          <w:sz w:val="32"/>
          <w:szCs w:val="32"/>
        </w:rPr>
      </w:pPr>
      <w:r>
        <w:rPr>
          <w:rFonts w:hint="eastAsia" w:ascii="黑体" w:hAnsi="黑体" w:eastAsia="黑体" w:cstheme="minorEastAsia"/>
          <w:b/>
          <w:bCs/>
          <w:color w:val="000000" w:themeColor="text1"/>
          <w:sz w:val="32"/>
          <w:szCs w:val="32"/>
        </w:rPr>
        <w:t xml:space="preserve">第一部分  </w:t>
      </w:r>
      <w:r>
        <w:rPr>
          <w:rFonts w:hint="eastAsia" w:ascii="黑体" w:hAnsi="黑体" w:eastAsia="黑体" w:cs="黑体"/>
          <w:b/>
          <w:bCs/>
          <w:color w:val="000000" w:themeColor="text1"/>
          <w:sz w:val="32"/>
          <w:szCs w:val="32"/>
        </w:rPr>
        <w:t>襄垣县</w:t>
      </w:r>
      <w:r>
        <w:rPr>
          <w:rFonts w:hint="eastAsia" w:ascii="Arial" w:hAnsi="Arial" w:eastAsia="黑体" w:cs="Arial"/>
          <w:b/>
          <w:bCs/>
          <w:color w:val="000000" w:themeColor="text1"/>
          <w:sz w:val="32"/>
          <w:szCs w:val="32"/>
        </w:rPr>
        <w:t>综合检验检测中心</w:t>
      </w:r>
      <w:r>
        <w:rPr>
          <w:rFonts w:hint="eastAsia" w:ascii="黑体" w:hAnsi="黑体" w:eastAsia="黑体" w:cstheme="minorEastAsia"/>
          <w:b/>
          <w:bCs/>
          <w:color w:val="000000" w:themeColor="text1"/>
          <w:sz w:val="32"/>
          <w:szCs w:val="32"/>
        </w:rPr>
        <w:t>概况</w:t>
      </w:r>
    </w:p>
    <w:p>
      <w:pPr>
        <w:ind w:firstLine="643" w:firstLineChars="200"/>
        <w:rPr>
          <w:rFonts w:ascii="楷体" w:hAnsi="楷体" w:eastAsia="楷体" w:cstheme="minorEastAsia"/>
          <w:b/>
          <w:color w:val="000000" w:themeColor="text1"/>
          <w:sz w:val="32"/>
          <w:szCs w:val="32"/>
        </w:rPr>
      </w:pPr>
      <w:r>
        <w:rPr>
          <w:rFonts w:hint="eastAsia" w:ascii="楷体" w:hAnsi="楷体" w:eastAsia="楷体" w:cstheme="minorEastAsia"/>
          <w:b/>
          <w:color w:val="000000" w:themeColor="text1"/>
          <w:sz w:val="32"/>
          <w:szCs w:val="32"/>
        </w:rPr>
        <w:t>一、部门主要职能</w:t>
      </w:r>
    </w:p>
    <w:p>
      <w:pPr>
        <w:ind w:firstLine="645"/>
        <w:rPr>
          <w:rFonts w:ascii="仿宋" w:hAnsi="仿宋" w:eastAsia="仿宋" w:cs="仿宋_GB2312"/>
          <w:color w:val="000000" w:themeColor="text1"/>
          <w:sz w:val="30"/>
          <w:szCs w:val="30"/>
        </w:rPr>
      </w:pPr>
      <w:r>
        <w:rPr>
          <w:rFonts w:hint="eastAsia" w:ascii="仿宋" w:hAnsi="仿宋" w:eastAsia="仿宋" w:cs="仿宋_GB2312"/>
          <w:color w:val="000000" w:themeColor="text1"/>
          <w:sz w:val="30"/>
          <w:szCs w:val="30"/>
        </w:rPr>
        <w:t>1.承担全县食品、药品、农产品、化妆品、保健食品和有关产（商）品的质量监督检验、评价性检验、委托检验工作，汇总、分析、上报和反馈相关质量信息。</w:t>
      </w:r>
    </w:p>
    <w:p>
      <w:pPr>
        <w:ind w:firstLine="645"/>
        <w:rPr>
          <w:rFonts w:ascii="仿宋" w:hAnsi="仿宋" w:eastAsia="仿宋" w:cs="仿宋_GB2312"/>
          <w:color w:val="000000" w:themeColor="text1"/>
          <w:sz w:val="30"/>
          <w:szCs w:val="30"/>
        </w:rPr>
      </w:pPr>
      <w:r>
        <w:rPr>
          <w:rFonts w:hint="eastAsia" w:ascii="仿宋" w:hAnsi="仿宋" w:eastAsia="仿宋" w:cs="仿宋_GB2312"/>
          <w:color w:val="000000" w:themeColor="text1"/>
          <w:sz w:val="30"/>
          <w:szCs w:val="30"/>
        </w:rPr>
        <w:t>2.承担政府相关职能部门和司法部门下达的食品、药品、农产品及其他产品监督抽查、风险监测、突发事件等计划任务和仲裁检验；承担食品、农产品等生产许可检验工作；协助开展监督执法和突发事件应急处置工作。</w:t>
      </w:r>
    </w:p>
    <w:p>
      <w:pPr>
        <w:ind w:firstLine="645"/>
        <w:rPr>
          <w:rFonts w:ascii="仿宋" w:hAnsi="仿宋" w:eastAsia="仿宋" w:cs="仿宋_GB2312"/>
          <w:color w:val="000000" w:themeColor="text1"/>
          <w:sz w:val="30"/>
          <w:szCs w:val="30"/>
        </w:rPr>
      </w:pPr>
      <w:r>
        <w:rPr>
          <w:rFonts w:hint="eastAsia" w:ascii="仿宋" w:hAnsi="仿宋" w:eastAsia="仿宋" w:cs="仿宋_GB2312"/>
          <w:color w:val="000000" w:themeColor="text1"/>
          <w:sz w:val="30"/>
          <w:szCs w:val="30"/>
        </w:rPr>
        <w:t>3.为企业和消费者提供产品的委托检验和其他各类型的产品检验工作；为企业生产提供检测和分析诊断服务，提出质量改进方案和建议；做好人员知识技能培训等服务。</w:t>
      </w:r>
    </w:p>
    <w:p>
      <w:pPr>
        <w:ind w:firstLine="643" w:firstLineChars="200"/>
        <w:rPr>
          <w:rFonts w:ascii="楷体" w:hAnsi="楷体" w:eastAsia="楷体" w:cstheme="minorEastAsia"/>
          <w:b/>
          <w:color w:val="000000" w:themeColor="text1"/>
          <w:sz w:val="32"/>
          <w:szCs w:val="32"/>
        </w:rPr>
      </w:pPr>
      <w:r>
        <w:rPr>
          <w:rFonts w:hint="eastAsia" w:ascii="楷体" w:hAnsi="楷体" w:eastAsia="楷体" w:cstheme="minorEastAsia"/>
          <w:b/>
          <w:color w:val="000000" w:themeColor="text1"/>
          <w:sz w:val="32"/>
          <w:szCs w:val="32"/>
        </w:rPr>
        <w:t>二、部门基本情况</w:t>
      </w:r>
    </w:p>
    <w:p>
      <w:pPr>
        <w:widowControl/>
        <w:spacing w:line="324" w:lineRule="atLeast"/>
        <w:ind w:left="540"/>
        <w:jc w:val="left"/>
        <w:rPr>
          <w:rFonts w:ascii="仿宋_GB2312" w:hAnsi="楷体" w:eastAsia="仿宋_GB2312" w:cs="宋体"/>
          <w:bCs/>
          <w:color w:val="000000" w:themeColor="text1"/>
          <w:kern w:val="0"/>
          <w:sz w:val="18"/>
          <w:szCs w:val="18"/>
        </w:rPr>
      </w:pPr>
      <w:r>
        <w:rPr>
          <w:rFonts w:hint="eastAsia" w:ascii="仿宋_GB2312" w:hAnsi="楷体" w:eastAsia="仿宋_GB2312" w:cs="宋体"/>
          <w:bCs/>
          <w:color w:val="000000" w:themeColor="text1"/>
          <w:kern w:val="0"/>
          <w:sz w:val="32"/>
          <w:szCs w:val="32"/>
        </w:rPr>
        <w:t>（一）机构设置情况</w:t>
      </w:r>
    </w:p>
    <w:p>
      <w:pPr>
        <w:widowControl/>
        <w:spacing w:line="324" w:lineRule="atLeast"/>
        <w:ind w:firstLine="600" w:firstLineChars="200"/>
        <w:jc w:val="left"/>
        <w:rPr>
          <w:rFonts w:ascii="仿宋" w:hAnsi="仿宋" w:eastAsia="仿宋" w:cs="仿宋_GB2312"/>
          <w:color w:val="000000" w:themeColor="text1"/>
          <w:sz w:val="30"/>
          <w:szCs w:val="30"/>
        </w:rPr>
      </w:pPr>
      <w:r>
        <w:rPr>
          <w:rFonts w:hint="eastAsia" w:ascii="仿宋" w:hAnsi="仿宋" w:eastAsia="仿宋" w:cs="仿宋_GB2312"/>
          <w:color w:val="000000" w:themeColor="text1"/>
          <w:sz w:val="30"/>
          <w:szCs w:val="30"/>
        </w:rPr>
        <w:t>襄垣县综合检验检测中心隶属于襄垣县人民政府，财政拨款全额事业单位，正科级建制。设办公室和检验检测股两个内设机构。</w:t>
      </w:r>
    </w:p>
    <w:p>
      <w:pPr>
        <w:widowControl/>
        <w:spacing w:line="324" w:lineRule="atLeast"/>
        <w:ind w:left="540"/>
        <w:jc w:val="left"/>
        <w:rPr>
          <w:rFonts w:ascii="仿宋_GB2312" w:hAnsi="楷体" w:eastAsia="仿宋_GB2312" w:cs="宋体"/>
          <w:bCs/>
          <w:color w:val="000000" w:themeColor="text1"/>
          <w:kern w:val="0"/>
          <w:sz w:val="32"/>
          <w:szCs w:val="32"/>
        </w:rPr>
      </w:pPr>
      <w:r>
        <w:rPr>
          <w:rFonts w:hint="eastAsia" w:ascii="仿宋_GB2312" w:hAnsi="楷体" w:eastAsia="仿宋_GB2312" w:cs="宋体"/>
          <w:bCs/>
          <w:color w:val="000000" w:themeColor="text1"/>
          <w:kern w:val="0"/>
          <w:sz w:val="32"/>
          <w:szCs w:val="32"/>
        </w:rPr>
        <w:t>（二）人员情况说明</w:t>
      </w:r>
    </w:p>
    <w:p>
      <w:pPr>
        <w:ind w:firstLine="645"/>
        <w:rPr>
          <w:rFonts w:ascii="仿宋_GB2312" w:hAnsi="仿宋" w:eastAsia="仿宋_GB2312" w:cstheme="minorEastAsia"/>
          <w:color w:val="000000" w:themeColor="text1"/>
          <w:sz w:val="32"/>
          <w:szCs w:val="32"/>
        </w:rPr>
      </w:pPr>
      <w:r>
        <w:rPr>
          <w:rFonts w:hint="eastAsia" w:ascii="仿宋" w:hAnsi="仿宋" w:eastAsia="仿宋" w:cs="仿宋_GB2312"/>
          <w:color w:val="000000" w:themeColor="text1"/>
          <w:sz w:val="32"/>
          <w:szCs w:val="32"/>
        </w:rPr>
        <w:t>现有事业编制7名，实有事业人员6名，无退休人员。</w:t>
      </w:r>
    </w:p>
    <w:p>
      <w:pPr>
        <w:ind w:firstLine="645"/>
        <w:rPr>
          <w:rFonts w:ascii="仿宋_GB2312" w:hAnsi="仿宋" w:eastAsia="仿宋_GB2312" w:cs="宋体"/>
          <w:color w:val="000000" w:themeColor="text1"/>
          <w:kern w:val="0"/>
          <w:sz w:val="32"/>
          <w:szCs w:val="32"/>
        </w:rPr>
      </w:pPr>
      <w:r>
        <w:rPr>
          <w:rFonts w:hint="eastAsia" w:ascii="仿宋" w:hAnsi="仿宋" w:eastAsia="仿宋" w:cs="仿宋_GB2312"/>
          <w:color w:val="000000" w:themeColor="text1"/>
          <w:sz w:val="32"/>
          <w:szCs w:val="32"/>
        </w:rPr>
        <w:t>（三）</w:t>
      </w:r>
      <w:r>
        <w:rPr>
          <w:rFonts w:hint="eastAsia" w:ascii="仿宋_GB2312" w:hAnsi="仿宋" w:eastAsia="仿宋_GB2312" w:cstheme="minorEastAsia"/>
          <w:color w:val="000000" w:themeColor="text1"/>
          <w:sz w:val="32"/>
          <w:szCs w:val="32"/>
        </w:rPr>
        <w:t>本套部门决算汇编范围的单位共1个，包括：</w:t>
      </w:r>
      <w:r>
        <w:rPr>
          <w:rFonts w:hint="eastAsia" w:ascii="仿宋_GB2312" w:eastAsia="仿宋_GB2312"/>
          <w:color w:val="000000" w:themeColor="text1"/>
          <w:sz w:val="32"/>
          <w:szCs w:val="32"/>
        </w:rPr>
        <w:t>襄垣县综合检验检测中心。</w:t>
      </w:r>
    </w:p>
    <w:p>
      <w:pPr>
        <w:ind w:firstLine="640" w:firstLineChars="200"/>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第二部分  201</w:t>
      </w:r>
      <w:r>
        <w:rPr>
          <w:rFonts w:ascii="黑体" w:hAnsi="黑体" w:eastAsia="黑体" w:cstheme="minorEastAsia"/>
          <w:color w:val="000000" w:themeColor="text1"/>
          <w:sz w:val="32"/>
          <w:szCs w:val="32"/>
        </w:rPr>
        <w:t>8</w:t>
      </w:r>
      <w:r>
        <w:rPr>
          <w:rFonts w:hint="eastAsia" w:ascii="黑体" w:hAnsi="黑体" w:eastAsia="黑体" w:cstheme="minorEastAsia"/>
          <w:color w:val="000000" w:themeColor="text1"/>
          <w:sz w:val="32"/>
          <w:szCs w:val="32"/>
        </w:rPr>
        <w:t>年度部门决算公开表</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第三部分  201</w:t>
      </w:r>
      <w:r>
        <w:rPr>
          <w:rFonts w:ascii="黑体" w:hAnsi="黑体" w:eastAsia="黑体" w:cstheme="minorEastAsia"/>
          <w:color w:val="000000" w:themeColor="text1"/>
          <w:sz w:val="32"/>
          <w:szCs w:val="32"/>
        </w:rPr>
        <w:t>8</w:t>
      </w:r>
      <w:r>
        <w:rPr>
          <w:rFonts w:hint="eastAsia" w:ascii="黑体" w:hAnsi="黑体" w:eastAsia="黑体" w:cstheme="minorEastAsia"/>
          <w:color w:val="000000" w:themeColor="text1"/>
          <w:sz w:val="32"/>
          <w:szCs w:val="32"/>
        </w:rPr>
        <w:t>年度部门决算情况说明</w:t>
      </w:r>
    </w:p>
    <w:p>
      <w:pPr>
        <w:ind w:firstLine="640" w:firstLineChars="200"/>
        <w:rPr>
          <w:rFonts w:ascii="楷体" w:hAnsi="楷体" w:eastAsia="楷体" w:cstheme="minorEastAsia"/>
          <w:b/>
          <w:color w:val="000000" w:themeColor="text1"/>
          <w:sz w:val="32"/>
          <w:szCs w:val="32"/>
        </w:rPr>
      </w:pPr>
      <w:r>
        <w:rPr>
          <w:rFonts w:hint="eastAsia" w:ascii="楷体" w:hAnsi="楷体" w:eastAsia="楷体" w:cstheme="minorEastAsia"/>
          <w:bCs/>
          <w:color w:val="000000" w:themeColor="text1"/>
          <w:sz w:val="32"/>
          <w:szCs w:val="32"/>
        </w:rPr>
        <w:t>一、收入决算情况说明</w:t>
      </w:r>
    </w:p>
    <w:p>
      <w:pPr>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本部门201</w:t>
      </w:r>
      <w:r>
        <w:rPr>
          <w:rFonts w:ascii="仿宋_GB2312" w:hAnsi="仿宋" w:eastAsia="仿宋_GB2312" w:cs="仿宋"/>
          <w:color w:val="000000" w:themeColor="text1"/>
          <w:sz w:val="32"/>
          <w:szCs w:val="32"/>
        </w:rPr>
        <w:t>8</w:t>
      </w:r>
      <w:r>
        <w:rPr>
          <w:rFonts w:hint="eastAsia" w:ascii="仿宋_GB2312" w:hAnsi="仿宋" w:eastAsia="仿宋_GB2312" w:cs="仿宋"/>
          <w:color w:val="000000" w:themeColor="text1"/>
          <w:sz w:val="32"/>
          <w:szCs w:val="32"/>
        </w:rPr>
        <w:t>年度收入总计</w:t>
      </w:r>
      <w:r>
        <w:rPr>
          <w:rFonts w:ascii="仿宋_GB2312" w:hAnsi="仿宋" w:eastAsia="仿宋_GB2312" w:cs="仿宋"/>
          <w:color w:val="000000" w:themeColor="text1"/>
          <w:sz w:val="32"/>
          <w:szCs w:val="32"/>
        </w:rPr>
        <w:t>40.28</w:t>
      </w:r>
      <w:r>
        <w:rPr>
          <w:rFonts w:hint="eastAsia" w:ascii="仿宋_GB2312" w:hAnsi="仿宋" w:eastAsia="仿宋_GB2312" w:cs="仿宋"/>
          <w:color w:val="000000" w:themeColor="text1"/>
          <w:sz w:val="32"/>
          <w:szCs w:val="32"/>
        </w:rPr>
        <w:t>万元，其中年初结转和结余0万元，较2018年减少0万元，下降0%；本年收入合计</w:t>
      </w:r>
      <w:r>
        <w:rPr>
          <w:rFonts w:ascii="仿宋_GB2312" w:hAnsi="仿宋" w:eastAsia="仿宋_GB2312" w:cs="仿宋"/>
          <w:color w:val="000000" w:themeColor="text1"/>
          <w:sz w:val="32"/>
          <w:szCs w:val="32"/>
        </w:rPr>
        <w:t>40.28</w:t>
      </w:r>
      <w:r>
        <w:rPr>
          <w:rFonts w:hint="eastAsia" w:ascii="仿宋_GB2312" w:hAnsi="仿宋" w:eastAsia="仿宋_GB2312" w:cs="仿宋"/>
          <w:color w:val="000000" w:themeColor="text1"/>
          <w:sz w:val="32"/>
          <w:szCs w:val="32"/>
        </w:rPr>
        <w:t>万元，较201</w:t>
      </w:r>
      <w:r>
        <w:rPr>
          <w:rFonts w:ascii="仿宋_GB2312" w:hAnsi="仿宋" w:eastAsia="仿宋_GB2312" w:cs="仿宋"/>
          <w:color w:val="000000" w:themeColor="text1"/>
          <w:sz w:val="32"/>
          <w:szCs w:val="32"/>
        </w:rPr>
        <w:t>7</w:t>
      </w:r>
      <w:r>
        <w:rPr>
          <w:rFonts w:hint="eastAsia" w:ascii="仿宋_GB2312" w:hAnsi="仿宋" w:eastAsia="仿宋_GB2312" w:cs="仿宋"/>
          <w:color w:val="000000" w:themeColor="text1"/>
          <w:sz w:val="32"/>
          <w:szCs w:val="32"/>
        </w:rPr>
        <w:t>年增加</w:t>
      </w:r>
      <w:r>
        <w:rPr>
          <w:rFonts w:ascii="仿宋_GB2312" w:hAnsi="仿宋" w:eastAsia="仿宋_GB2312" w:cs="仿宋"/>
          <w:color w:val="000000" w:themeColor="text1"/>
          <w:sz w:val="32"/>
          <w:szCs w:val="32"/>
        </w:rPr>
        <w:t>14.61</w:t>
      </w:r>
      <w:r>
        <w:rPr>
          <w:rFonts w:hint="eastAsia" w:ascii="仿宋_GB2312" w:hAnsi="仿宋" w:eastAsia="仿宋_GB2312" w:cs="仿宋"/>
          <w:color w:val="000000" w:themeColor="text1"/>
          <w:sz w:val="32"/>
          <w:szCs w:val="32"/>
        </w:rPr>
        <w:t>万元，增长</w:t>
      </w:r>
      <w:r>
        <w:rPr>
          <w:rFonts w:ascii="仿宋_GB2312" w:hAnsi="仿宋" w:eastAsia="仿宋_GB2312" w:cs="仿宋"/>
          <w:color w:val="000000" w:themeColor="text1"/>
          <w:sz w:val="32"/>
          <w:szCs w:val="32"/>
        </w:rPr>
        <w:t>56.90</w:t>
      </w:r>
      <w:r>
        <w:rPr>
          <w:rFonts w:hint="eastAsia" w:ascii="仿宋_GB2312" w:hAnsi="仿宋" w:eastAsia="仿宋_GB2312" w:cs="仿宋"/>
          <w:color w:val="000000" w:themeColor="text1"/>
          <w:sz w:val="32"/>
          <w:szCs w:val="32"/>
        </w:rPr>
        <w:t>%，主要原因是：统招2人，</w:t>
      </w:r>
      <w:r>
        <w:rPr>
          <w:rFonts w:hint="eastAsia" w:eastAsia="仿宋_GB2312" w:cs="仿宋"/>
          <w:color w:val="000000" w:themeColor="text1"/>
          <w:sz w:val="32"/>
          <w:szCs w:val="32"/>
        </w:rPr>
        <w:t>调入1人，</w:t>
      </w:r>
      <w:r>
        <w:rPr>
          <w:rFonts w:hint="eastAsia" w:ascii="仿宋_GB2312" w:hAnsi="仿宋" w:eastAsia="仿宋_GB2312" w:cs="仿宋"/>
          <w:color w:val="000000" w:themeColor="text1"/>
          <w:sz w:val="32"/>
          <w:szCs w:val="32"/>
        </w:rPr>
        <w:t>统发工资增加。</w:t>
      </w:r>
    </w:p>
    <w:p>
      <w:pPr>
        <w:ind w:firstLine="640" w:firstLineChars="200"/>
        <w:rPr>
          <w:rFonts w:ascii="仿宋_GB2312" w:hAnsi="仿宋" w:eastAsia="仿宋_GB2312" w:cs="仿宋"/>
          <w:color w:val="000000" w:themeColor="text1"/>
          <w:sz w:val="32"/>
          <w:szCs w:val="32"/>
        </w:rPr>
      </w:pPr>
      <w:r>
        <w:rPr>
          <w:rFonts w:hint="eastAsia" w:ascii="仿宋_GB2312" w:hAnsi="仿宋" w:eastAsia="仿宋_GB2312" w:cs="仿宋"/>
          <w:color w:val="000000" w:themeColor="text1"/>
          <w:sz w:val="32"/>
          <w:szCs w:val="32"/>
        </w:rPr>
        <w:t xml:space="preserve">本年收入的具体构成为：财政拨款收入40.28万元，占100%；其他收入0万元，占0%。  </w:t>
      </w:r>
    </w:p>
    <w:p>
      <w:pPr>
        <w:ind w:firstLine="640" w:firstLineChars="200"/>
        <w:rPr>
          <w:rFonts w:ascii="楷体" w:hAnsi="楷体" w:eastAsia="楷体" w:cstheme="minorEastAsia"/>
          <w:bCs/>
          <w:color w:val="000000" w:themeColor="text1"/>
          <w:sz w:val="32"/>
          <w:szCs w:val="32"/>
        </w:rPr>
      </w:pPr>
      <w:r>
        <w:rPr>
          <w:rFonts w:hint="eastAsia" w:ascii="楷体" w:hAnsi="楷体" w:eastAsia="楷体" w:cstheme="minorEastAsia"/>
          <w:bCs/>
          <w:color w:val="000000" w:themeColor="text1"/>
          <w:sz w:val="32"/>
          <w:szCs w:val="32"/>
        </w:rPr>
        <w:t>二、支出决算情况说明</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本部门2018年度支出总计40.28万元，其中本年支出合计40.28万元，较2017年增加14.61万元，增长56.90%，主要原因是：人员经费增加。</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本年支出的具体构成为：基本支出40.28万元，占100%；项目支出0万元，占0%；经营支出0万元，占0%；其他支出（对附属单位补助支出、上缴上级支出）0万元，占0%。</w:t>
      </w:r>
    </w:p>
    <w:p>
      <w:pPr>
        <w:ind w:firstLine="640" w:firstLineChars="200"/>
        <w:rPr>
          <w:rFonts w:ascii="楷体" w:hAnsi="楷体" w:eastAsia="楷体" w:cstheme="minorEastAsia"/>
          <w:bCs/>
          <w:color w:val="000000" w:themeColor="text1"/>
          <w:sz w:val="32"/>
          <w:szCs w:val="32"/>
        </w:rPr>
      </w:pPr>
      <w:r>
        <w:rPr>
          <w:rFonts w:hint="eastAsia" w:ascii="楷体" w:hAnsi="楷体" w:eastAsia="楷体" w:cstheme="minorEastAsia"/>
          <w:bCs/>
          <w:color w:val="000000" w:themeColor="text1"/>
          <w:sz w:val="32"/>
          <w:szCs w:val="32"/>
        </w:rPr>
        <w:t>三、一般公共预算财政拨款支出决算表公开到功能分类项级科目（05表）</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本部门2018年度财政拨款本年支出年初预算数为   45.36元，决算数为40.28万元，完成年初预算的88.80 %。其中：一般公共服务支出年初预算数为45.36万元，决算数为40.28万元，完成年初预算的 88.80%。人员经费支出决算数32.15万元；日常公用经费支出8.13万元。</w:t>
      </w:r>
    </w:p>
    <w:p>
      <w:pPr>
        <w:ind w:firstLine="640" w:firstLineChars="200"/>
        <w:rPr>
          <w:rFonts w:ascii="楷体" w:hAnsi="楷体" w:eastAsia="楷体" w:cstheme="minorEastAsia"/>
          <w:bCs/>
          <w:color w:val="000000" w:themeColor="text1"/>
          <w:sz w:val="32"/>
          <w:szCs w:val="32"/>
        </w:rPr>
      </w:pPr>
      <w:r>
        <w:rPr>
          <w:rFonts w:hint="eastAsia" w:ascii="楷体" w:hAnsi="楷体" w:eastAsia="楷体" w:cstheme="minorEastAsia"/>
          <w:bCs/>
          <w:color w:val="000000" w:themeColor="text1"/>
          <w:sz w:val="32"/>
          <w:szCs w:val="32"/>
        </w:rPr>
        <w:t>四、一般公共预算财政拨款基本支出决算表公开到经济性质分类款级科目（06表）</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本部门2018年度一般公共预算财政拨款基本支出40.28万元，其中：</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（一）工资福利支出32.15万元，较2017年增加14.61万元，增长74.15%，主要原因是：工资正常增长和统招人员增加，人员经费增加。</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（二）商品和服务支出8.13万元，较2017年增加0.92万元，增长12.73%，主要原因是：日常办公经费增加。</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（三）对个人和家庭补助支出0万元，较2017年减少0万元，下降0%。</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（四）资本性支出0万元，较2017年增加0万元。</w:t>
      </w:r>
    </w:p>
    <w:p>
      <w:pPr>
        <w:ind w:firstLine="640" w:firstLineChars="200"/>
        <w:rPr>
          <w:rFonts w:ascii="楷体" w:hAnsi="楷体" w:eastAsia="楷体" w:cstheme="minorEastAsia"/>
          <w:b/>
          <w:color w:val="000000" w:themeColor="text1"/>
          <w:sz w:val="32"/>
          <w:szCs w:val="32"/>
        </w:rPr>
      </w:pPr>
      <w:r>
        <w:rPr>
          <w:rFonts w:hint="eastAsia" w:ascii="楷体" w:hAnsi="楷体" w:eastAsia="楷体" w:cstheme="minorEastAsia"/>
          <w:bCs/>
          <w:color w:val="000000" w:themeColor="text1"/>
          <w:sz w:val="32"/>
          <w:szCs w:val="32"/>
        </w:rPr>
        <w:t>五、一般公共预算财政拨款“三公”经费支出决算情况说明</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本部门2018年度一般公共预算财政拨款“三公”经费支出年初预算数为2万元，决算数为1.01万元，完成预算的50.50%，决算数较2017年减少0.51万元，下降33.55%， 原因为</w:t>
      </w:r>
      <w:r>
        <w:rPr>
          <w:rFonts w:hint="eastAsia" w:ascii="仿宋_GB2312" w:eastAsia="仿宋_GB2312" w:hAnsiTheme="minorEastAsia" w:cstheme="minorEastAsia"/>
          <w:color w:val="000000" w:themeColor="text1"/>
          <w:sz w:val="32"/>
          <w:szCs w:val="32"/>
          <w:lang w:eastAsia="zh-CN"/>
        </w:rPr>
        <w:t>公务用车运行维护费减少，</w:t>
      </w:r>
      <w:r>
        <w:rPr>
          <w:rFonts w:hint="eastAsia" w:ascii="仿宋_GB2312" w:eastAsia="仿宋_GB2312" w:hAnsiTheme="minorEastAsia" w:cstheme="minorEastAsia"/>
          <w:color w:val="000000" w:themeColor="text1"/>
          <w:sz w:val="32"/>
          <w:szCs w:val="32"/>
        </w:rPr>
        <w:t>本年度6月份公务用车由公车平台收回。其中：</w:t>
      </w:r>
    </w:p>
    <w:p>
      <w:pPr>
        <w:numPr>
          <w:ilvl w:val="0"/>
          <w:numId w:val="1"/>
        </w:num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因公出国（境）支出年初预算数为0万元，决算数为0万元，完成预算的0%，因公出国（境）团组数为0，人数为0。决算数较2017年增加（减少）0万元，增长（下降）0%。</w:t>
      </w:r>
    </w:p>
    <w:p>
      <w:pPr>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（二）公务接待费支出年初预算数为0万元，决算数为0万元，完成预算的0%，决算数较2017年</w:t>
      </w:r>
      <w:bookmarkStart w:id="0" w:name="_GoBack"/>
      <w:bookmarkEnd w:id="0"/>
      <w:r>
        <w:rPr>
          <w:rFonts w:hint="eastAsia" w:ascii="仿宋_GB2312" w:eastAsia="仿宋_GB2312" w:hAnsiTheme="minorEastAsia" w:cstheme="minorEastAsia"/>
          <w:color w:val="000000" w:themeColor="text1"/>
          <w:sz w:val="32"/>
          <w:szCs w:val="32"/>
        </w:rPr>
        <w:t>无变化。本年度国内公务接待共0批次，共0人。</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三）公务用车购置及运行维护费支出0万元，其中公务用车购置年初预算数为0万元，决算数为0万元，完成预算的0%，决算数较2017年减少0万元，下降0%；公务用车运行维护费支出年初预算数为2万元，决算数为1.01万元，完成预算的50.50%，决算数较2017年减少0.51万元，下降33.55%，原因为：本年度6月份公务用车由公车平台收回，后期无公务用车运行维护费支出。本年度公务用车购置数0，公务用车保有量0。</w:t>
      </w:r>
    </w:p>
    <w:p>
      <w:pPr>
        <w:ind w:firstLine="640" w:firstLineChars="200"/>
        <w:rPr>
          <w:rFonts w:ascii="楷体" w:hAnsi="楷体" w:eastAsia="楷体" w:cstheme="minorEastAsia"/>
          <w:b/>
          <w:color w:val="000000" w:themeColor="text1"/>
          <w:sz w:val="32"/>
          <w:szCs w:val="32"/>
        </w:rPr>
      </w:pPr>
      <w:r>
        <w:rPr>
          <w:rFonts w:hint="eastAsia" w:ascii="楷体" w:hAnsi="楷体" w:eastAsia="楷体" w:cstheme="minorEastAsia"/>
          <w:bCs/>
          <w:color w:val="000000" w:themeColor="text1"/>
          <w:sz w:val="32"/>
          <w:szCs w:val="32"/>
        </w:rPr>
        <w:t>六、政府采购支出情况说明</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本部门2018年度政府采购支出总额0万元，其中：政府采购货物支出0万元、政府采购工程支出0万元、政府采购服务支出0万元。授予中小企业合同金额0万元，占政府采购支出总额的0%。</w:t>
      </w:r>
    </w:p>
    <w:p>
      <w:pPr>
        <w:ind w:firstLine="640" w:firstLineChars="200"/>
        <w:rPr>
          <w:rFonts w:ascii="楷体" w:hAnsi="楷体" w:eastAsia="楷体" w:cstheme="minorEastAsia"/>
          <w:b/>
          <w:color w:val="000000" w:themeColor="text1"/>
          <w:sz w:val="32"/>
          <w:szCs w:val="32"/>
        </w:rPr>
      </w:pPr>
      <w:r>
        <w:rPr>
          <w:rFonts w:hint="eastAsia" w:ascii="楷体" w:hAnsi="楷体" w:eastAsia="楷体" w:cstheme="minorEastAsia"/>
          <w:bCs/>
          <w:color w:val="000000" w:themeColor="text1"/>
          <w:sz w:val="32"/>
          <w:szCs w:val="32"/>
        </w:rPr>
        <w:t>七、机关运行经费执行情况说明</w:t>
      </w:r>
    </w:p>
    <w:p>
      <w:pPr>
        <w:ind w:firstLine="640" w:firstLineChars="200"/>
        <w:rPr>
          <w:rFonts w:ascii="仿宋_GB2312" w:hAnsi="仿宋" w:eastAsia="仿宋_GB2312" w:cstheme="minorEastAsia"/>
          <w:color w:val="000000" w:themeColor="text1"/>
          <w:sz w:val="32"/>
          <w:szCs w:val="32"/>
        </w:rPr>
      </w:pPr>
      <w:r>
        <w:rPr>
          <w:rFonts w:hint="eastAsia" w:ascii="仿宋_GB2312" w:hAnsi="仿宋" w:eastAsia="仿宋_GB2312" w:cstheme="minorEastAsia"/>
          <w:color w:val="000000" w:themeColor="text1"/>
          <w:sz w:val="32"/>
          <w:szCs w:val="32"/>
        </w:rPr>
        <w:t xml:space="preserve">本部门2018年度机关运行经费支出0万元，较2017年减少0万元，下降0%，主要原因是：本单位是财政拨款事业单位。 </w:t>
      </w:r>
    </w:p>
    <w:p>
      <w:pPr>
        <w:ind w:firstLine="640" w:firstLineChars="200"/>
        <w:rPr>
          <w:rFonts w:ascii="楷体" w:hAnsi="楷体" w:eastAsia="楷体" w:cstheme="minorEastAsia"/>
          <w:b/>
          <w:color w:val="000000" w:themeColor="text1"/>
          <w:sz w:val="32"/>
          <w:szCs w:val="32"/>
        </w:rPr>
      </w:pPr>
      <w:r>
        <w:rPr>
          <w:rStyle w:val="7"/>
          <w:rFonts w:hint="eastAsia" w:ascii="楷体" w:hAnsi="楷体" w:eastAsia="楷体" w:cs="宋体"/>
          <w:b w:val="0"/>
          <w:bCs/>
          <w:color w:val="000000" w:themeColor="text1"/>
          <w:sz w:val="32"/>
          <w:szCs w:val="32"/>
        </w:rPr>
        <w:t>八、国有资产占用情况说明</w:t>
      </w:r>
    </w:p>
    <w:p>
      <w:pPr>
        <w:pStyle w:val="4"/>
        <w:widowControl/>
        <w:spacing w:before="0" w:beforeAutospacing="0" w:after="0" w:afterAutospacing="0" w:line="30" w:lineRule="atLeast"/>
        <w:ind w:firstLine="640"/>
        <w:rPr>
          <w:rStyle w:val="7"/>
          <w:rFonts w:ascii="仿宋_GB2312" w:hAnsi="楷体" w:eastAsia="仿宋_GB2312" w:cs="宋体"/>
          <w:b w:val="0"/>
          <w:color w:val="000000" w:themeColor="text1"/>
          <w:sz w:val="32"/>
          <w:szCs w:val="32"/>
        </w:rPr>
      </w:pPr>
      <w:r>
        <w:rPr>
          <w:rStyle w:val="7"/>
          <w:rFonts w:hint="eastAsia" w:ascii="仿宋_GB2312" w:hAnsi="楷体" w:eastAsia="仿宋_GB2312" w:cs="宋体"/>
          <w:b w:val="0"/>
          <w:color w:val="000000" w:themeColor="text1"/>
          <w:sz w:val="32"/>
          <w:szCs w:val="32"/>
        </w:rPr>
        <w:t>本部门共有车辆数合计0辆；单价50万元以上通用设备0台/套，共计0元；单价100万元以上专用设备0台/套，0元。</w:t>
      </w:r>
    </w:p>
    <w:p>
      <w:pPr>
        <w:ind w:firstLine="640" w:firstLineChars="200"/>
        <w:rPr>
          <w:rStyle w:val="7"/>
          <w:rFonts w:ascii="楷体" w:hAnsi="楷体" w:eastAsia="楷体" w:cs="宋体"/>
          <w:b w:val="0"/>
          <w:bCs/>
          <w:color w:val="000000" w:themeColor="text1"/>
          <w:kern w:val="0"/>
          <w:sz w:val="32"/>
          <w:szCs w:val="32"/>
        </w:rPr>
      </w:pPr>
      <w:r>
        <w:rPr>
          <w:rStyle w:val="7"/>
          <w:rFonts w:hint="eastAsia" w:ascii="楷体" w:hAnsi="楷体" w:eastAsia="楷体" w:cs="宋体"/>
          <w:b w:val="0"/>
          <w:bCs/>
          <w:color w:val="000000" w:themeColor="text1"/>
          <w:kern w:val="0"/>
          <w:sz w:val="32"/>
          <w:szCs w:val="32"/>
        </w:rPr>
        <w:t>九、重点绩效评价结果等预算绩效情况说明</w:t>
      </w:r>
    </w:p>
    <w:p>
      <w:pPr>
        <w:pStyle w:val="4"/>
        <w:widowControl/>
        <w:spacing w:before="0" w:beforeAutospacing="0" w:after="0" w:afterAutospacing="0" w:line="30" w:lineRule="atLeast"/>
        <w:ind w:firstLine="640"/>
        <w:rPr>
          <w:rStyle w:val="7"/>
          <w:rFonts w:ascii="仿宋_GB2312" w:hAnsi="楷体" w:eastAsia="仿宋_GB2312" w:cs="宋体"/>
          <w:b w:val="0"/>
          <w:color w:val="000000" w:themeColor="text1"/>
          <w:sz w:val="32"/>
          <w:szCs w:val="32"/>
        </w:rPr>
      </w:pPr>
      <w:r>
        <w:rPr>
          <w:rStyle w:val="7"/>
          <w:rFonts w:hint="eastAsia" w:ascii="仿宋_GB2312" w:hAnsi="楷体" w:eastAsia="仿宋_GB2312" w:cs="宋体"/>
          <w:b w:val="0"/>
          <w:color w:val="000000" w:themeColor="text1"/>
          <w:sz w:val="32"/>
          <w:szCs w:val="32"/>
        </w:rPr>
        <w:t>本部门本年度不涉及预算绩效项目。</w:t>
      </w:r>
    </w:p>
    <w:p>
      <w:pPr>
        <w:ind w:firstLine="640" w:firstLineChars="200"/>
        <w:rPr>
          <w:rFonts w:ascii="黑体" w:hAnsi="黑体" w:eastAsia="黑体" w:cstheme="minorEastAsia"/>
          <w:color w:val="000000" w:themeColor="text1"/>
          <w:sz w:val="32"/>
          <w:szCs w:val="32"/>
        </w:rPr>
      </w:pPr>
      <w:r>
        <w:rPr>
          <w:rFonts w:hint="eastAsia" w:ascii="黑体" w:hAnsi="黑体" w:eastAsia="黑体" w:cstheme="minorEastAsia"/>
          <w:color w:val="000000" w:themeColor="text1"/>
          <w:sz w:val="32"/>
          <w:szCs w:val="32"/>
        </w:rPr>
        <w:t>第四部分  名词解释</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一、财政拨款收入：指单位本年度从本级财政部门取得的财政拨款，包括一般公共预算财政拨款和政府性基金预算财政拨款。</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十二、项目支出：指在基本支出之外为完成特定的行政任务或事业发展目标所发生的支出。 </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十三、上缴上级支出：指事业单位按照财政部门和主管部门的规定上缴上级单位的支出。</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十四、经营支出：指事业单位在专业业务活动及其辅助活动之外开展非独立核算经营活动发生的支出。</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color w:val="000000" w:themeColor="text1"/>
          <w:sz w:val="32"/>
          <w:szCs w:val="32"/>
        </w:rPr>
      </w:pPr>
      <w:r>
        <w:rPr>
          <w:rFonts w:hint="eastAsia" w:ascii="仿宋_GB2312" w:eastAsia="仿宋_GB2312" w:hAnsiTheme="minorEastAsia" w:cstheme="minorEastAsia"/>
          <w:color w:val="000000" w:themeColor="text1"/>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p>
      <w:pPr>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48E87EB6"/>
    <w:rsid w:val="0001019D"/>
    <w:rsid w:val="000F4D89"/>
    <w:rsid w:val="0011026C"/>
    <w:rsid w:val="00121209"/>
    <w:rsid w:val="001330DE"/>
    <w:rsid w:val="001C0185"/>
    <w:rsid w:val="0028298C"/>
    <w:rsid w:val="002A78F3"/>
    <w:rsid w:val="002B74C9"/>
    <w:rsid w:val="002D168E"/>
    <w:rsid w:val="003343CB"/>
    <w:rsid w:val="00356142"/>
    <w:rsid w:val="00481790"/>
    <w:rsid w:val="004B59D9"/>
    <w:rsid w:val="005F2480"/>
    <w:rsid w:val="00617198"/>
    <w:rsid w:val="00643BE9"/>
    <w:rsid w:val="00677B24"/>
    <w:rsid w:val="00696E76"/>
    <w:rsid w:val="006D0E70"/>
    <w:rsid w:val="00751A1A"/>
    <w:rsid w:val="00760ADC"/>
    <w:rsid w:val="007634B0"/>
    <w:rsid w:val="00835152"/>
    <w:rsid w:val="008463FB"/>
    <w:rsid w:val="008524E1"/>
    <w:rsid w:val="00854B98"/>
    <w:rsid w:val="008934C9"/>
    <w:rsid w:val="008C542A"/>
    <w:rsid w:val="008D5CA9"/>
    <w:rsid w:val="009436C0"/>
    <w:rsid w:val="0094723D"/>
    <w:rsid w:val="009B6471"/>
    <w:rsid w:val="00A61D97"/>
    <w:rsid w:val="00B84099"/>
    <w:rsid w:val="00BD7E57"/>
    <w:rsid w:val="00C91007"/>
    <w:rsid w:val="00CC01BC"/>
    <w:rsid w:val="00CC30DB"/>
    <w:rsid w:val="00CF14FA"/>
    <w:rsid w:val="00D25442"/>
    <w:rsid w:val="00E73345"/>
    <w:rsid w:val="00E74F60"/>
    <w:rsid w:val="00FC0FFA"/>
    <w:rsid w:val="014A06B6"/>
    <w:rsid w:val="01DA336E"/>
    <w:rsid w:val="05E42E29"/>
    <w:rsid w:val="0C5A5250"/>
    <w:rsid w:val="0C64513E"/>
    <w:rsid w:val="0DE649EC"/>
    <w:rsid w:val="0EE25EB1"/>
    <w:rsid w:val="10CB3E8D"/>
    <w:rsid w:val="1B4A6025"/>
    <w:rsid w:val="1DBA0D4C"/>
    <w:rsid w:val="1E107510"/>
    <w:rsid w:val="209E0EC3"/>
    <w:rsid w:val="22140CC1"/>
    <w:rsid w:val="2A937DAC"/>
    <w:rsid w:val="2BCC1358"/>
    <w:rsid w:val="2DB60033"/>
    <w:rsid w:val="2F754CA8"/>
    <w:rsid w:val="341824CB"/>
    <w:rsid w:val="343F3937"/>
    <w:rsid w:val="34D53928"/>
    <w:rsid w:val="37015ED3"/>
    <w:rsid w:val="3F5C42DA"/>
    <w:rsid w:val="43E475B8"/>
    <w:rsid w:val="458B37F5"/>
    <w:rsid w:val="48832669"/>
    <w:rsid w:val="48E87EB6"/>
    <w:rsid w:val="4A4F3891"/>
    <w:rsid w:val="4D9B3CEE"/>
    <w:rsid w:val="52567629"/>
    <w:rsid w:val="582B68F4"/>
    <w:rsid w:val="5D083F24"/>
    <w:rsid w:val="60860A87"/>
    <w:rsid w:val="60B46440"/>
    <w:rsid w:val="635052E9"/>
    <w:rsid w:val="635C762A"/>
    <w:rsid w:val="71FC58C7"/>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0E7126-F05B-4700-9901-44A796977AE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558</Words>
  <Characters>3181</Characters>
  <Lines>26</Lines>
  <Paragraphs>7</Paragraphs>
  <TotalTime>63</TotalTime>
  <ScaleCrop>false</ScaleCrop>
  <LinksUpToDate>false</LinksUpToDate>
  <CharactersWithSpaces>3732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2019-09-11T06:01:00Z</cp:lastPrinted>
  <dcterms:modified xsi:type="dcterms:W3CDTF">2021-06-09T02:47:04Z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