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Arial" w:hAnsi="Arial" w:eastAsia="黑体" w:cs="Arial"/>
          <w:sz w:val="52"/>
          <w:szCs w:val="52"/>
          <w:lang w:val="en-US" w:eastAsia="zh-CN"/>
        </w:rPr>
        <w:t>信访局</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w:t>
      </w:r>
      <w:r>
        <w:rPr>
          <w:rFonts w:hint="eastAsia" w:ascii="黑体" w:hAnsi="黑体" w:eastAsia="黑体" w:cstheme="minorEastAsia"/>
          <w:sz w:val="52"/>
          <w:szCs w:val="52"/>
          <w:lang w:val="en-US" w:eastAsia="zh-CN"/>
        </w:rPr>
        <w:t>18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w:t>
      </w:r>
      <w:r>
        <w:rPr>
          <w:rFonts w:hint="eastAsia" w:ascii="黑体" w:hAnsi="黑体" w:eastAsia="黑体" w:cstheme="minorEastAsia"/>
          <w:sz w:val="32"/>
          <w:szCs w:val="32"/>
          <w:lang w:val="en-US" w:eastAsia="zh-CN"/>
        </w:rPr>
        <w:t>18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 xml:space="preserve">第二部分  </w:t>
      </w:r>
      <w:r>
        <w:rPr>
          <w:rFonts w:hint="eastAsia" w:ascii="黑体" w:hAnsi="黑体" w:eastAsia="黑体" w:cstheme="minorEastAsia"/>
          <w:sz w:val="32"/>
          <w:szCs w:val="32"/>
          <w:lang w:val="en-US" w:eastAsia="zh-CN"/>
        </w:rPr>
        <w:t>2018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 xml:space="preserve">第三部分  </w:t>
      </w:r>
      <w:r>
        <w:rPr>
          <w:rFonts w:hint="eastAsia" w:ascii="黑体" w:hAnsi="黑体" w:eastAsia="黑体" w:cstheme="minorEastAsia"/>
          <w:sz w:val="32"/>
          <w:szCs w:val="32"/>
          <w:lang w:val="en-US" w:eastAsia="zh-CN"/>
        </w:rPr>
        <w:t>2018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val="en-US" w:eastAsia="zh-CN"/>
        </w:rPr>
        <w:t>信访局</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keepNext w:val="0"/>
        <w:keepLines w:val="0"/>
        <w:pageBreakBefore w:val="0"/>
        <w:widowControl w:val="0"/>
        <w:kinsoku/>
        <w:overflowPunct/>
        <w:topLinePunct w:val="0"/>
        <w:autoSpaceDE/>
        <w:bidi w:val="0"/>
        <w:adjustRightInd/>
        <w:snapToGrid/>
        <w:spacing w:before="0" w:beforeLines="0" w:after="0" w:afterLines="0" w:line="700" w:lineRule="exac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(一)负责</w:t>
      </w:r>
      <w:r>
        <w:rPr>
          <w:rFonts w:hint="eastAsia" w:ascii="仿宋" w:hAnsi="仿宋" w:eastAsia="仿宋" w:cs="仿宋"/>
          <w:sz w:val="32"/>
          <w:szCs w:val="32"/>
        </w:rPr>
        <w:t>处理群众和境外人士的来信</w:t>
      </w:r>
      <w:r>
        <w:rPr>
          <w:rFonts w:hint="eastAsia" w:ascii="仿宋" w:hAnsi="仿宋" w:eastAsia="仿宋" w:cs="仿宋"/>
          <w:sz w:val="32"/>
          <w:szCs w:val="32"/>
          <w:lang w:eastAsia="zh-CN"/>
        </w:rPr>
        <w:t>、网上投诉</w:t>
      </w:r>
      <w:r>
        <w:rPr>
          <w:rFonts w:hint="eastAsia" w:ascii="仿宋" w:hAnsi="仿宋" w:eastAsia="仿宋" w:cs="仿宋"/>
          <w:b w:val="0"/>
          <w:i w:val="0"/>
          <w:snapToGrid/>
          <w:color w:val="505050"/>
          <w:sz w:val="32"/>
          <w:szCs w:val="32"/>
          <w:shd w:val="clear" w:color="auto" w:fill="FFFFFF"/>
          <w:lang w:eastAsia="zh-CN"/>
        </w:rPr>
        <w:t>的信访事项，</w:t>
      </w:r>
      <w:r>
        <w:rPr>
          <w:rFonts w:hint="eastAsia" w:ascii="仿宋" w:hAnsi="仿宋" w:eastAsia="仿宋"/>
          <w:sz w:val="32"/>
          <w:szCs w:val="32"/>
        </w:rPr>
        <w:t>接待群众来访，并为县级领导接待上访群众做好服务工作</w:t>
      </w:r>
      <w:r>
        <w:rPr>
          <w:rFonts w:hint="eastAsia" w:ascii="仿宋" w:hAnsi="仿宋" w:eastAsia="仿宋"/>
          <w:sz w:val="32"/>
          <w:szCs w:val="32"/>
          <w:lang w:eastAsia="zh-CN"/>
        </w:rPr>
        <w:t>；</w:t>
      </w:r>
      <w:r>
        <w:rPr>
          <w:rFonts w:hint="eastAsia" w:ascii="仿宋" w:hAnsi="仿宋" w:eastAsia="仿宋" w:cs="仿宋"/>
          <w:sz w:val="32"/>
          <w:szCs w:val="32"/>
          <w:lang w:eastAsia="zh-CN"/>
        </w:rPr>
        <w:t>及时准确地向县委、县政府和县委办公室、县政府办公室领导同志反映来信来访中提出的重要建议、意见和问题；</w:t>
      </w:r>
      <w:r>
        <w:rPr>
          <w:rFonts w:hint="eastAsia" w:ascii="仿宋" w:hAnsi="仿宋" w:eastAsia="仿宋" w:cs="仿宋"/>
          <w:sz w:val="32"/>
          <w:szCs w:val="32"/>
        </w:rPr>
        <w:t>综合分析信访信息，</w:t>
      </w:r>
      <w:r>
        <w:rPr>
          <w:rFonts w:hint="eastAsia" w:ascii="仿宋" w:hAnsi="仿宋" w:eastAsia="仿宋"/>
          <w:sz w:val="32"/>
          <w:szCs w:val="32"/>
        </w:rPr>
        <w:t>开展调查研究，及时为</w:t>
      </w:r>
      <w:r>
        <w:rPr>
          <w:rFonts w:hint="eastAsia" w:ascii="仿宋" w:hAnsi="仿宋" w:eastAsia="仿宋"/>
          <w:sz w:val="32"/>
          <w:szCs w:val="32"/>
          <w:lang w:eastAsia="zh-CN"/>
        </w:rPr>
        <w:t>本级</w:t>
      </w:r>
      <w:r>
        <w:rPr>
          <w:rFonts w:hint="eastAsia" w:ascii="仿宋" w:hAnsi="仿宋" w:eastAsia="仿宋"/>
          <w:sz w:val="32"/>
          <w:szCs w:val="32"/>
        </w:rPr>
        <w:t>人民政府</w:t>
      </w:r>
      <w:r>
        <w:rPr>
          <w:rFonts w:hint="eastAsia" w:ascii="仿宋" w:hAnsi="仿宋" w:eastAsia="仿宋" w:cs="仿宋"/>
          <w:sz w:val="32"/>
          <w:szCs w:val="32"/>
          <w:lang w:eastAsia="zh-CN"/>
        </w:rPr>
        <w:t>提出完善政策和改进工作的建议。</w:t>
      </w:r>
      <w:r>
        <w:rPr>
          <w:rFonts w:hint="eastAsia" w:ascii="仿宋" w:hAnsi="仿宋" w:eastAsia="仿宋"/>
          <w:sz w:val="32"/>
          <w:szCs w:val="32"/>
        </w:rPr>
        <w:t xml:space="preserve"> </w:t>
      </w:r>
    </w:p>
    <w:p>
      <w:pPr>
        <w:keepNext w:val="0"/>
        <w:keepLines w:val="0"/>
        <w:pageBreakBefore w:val="0"/>
        <w:widowControl w:val="0"/>
        <w:kinsoku/>
        <w:overflowPunct/>
        <w:topLinePunct w:val="0"/>
        <w:autoSpaceDE/>
        <w:bidi w:val="0"/>
        <w:adjustRightInd/>
        <w:snapToGrid/>
        <w:spacing w:before="0" w:beforeLines="0" w:after="0" w:afterLines="0" w:line="700" w:lineRule="exact"/>
        <w:ind w:right="0" w:rightChars="0" w:firstLine="640" w:firstLineChars="200"/>
        <w:jc w:val="left"/>
        <w:textAlignment w:val="auto"/>
        <w:outlineLvl w:val="9"/>
        <w:rPr>
          <w:rFonts w:hint="eastAsia" w:ascii="仿宋" w:hAnsi="仿宋" w:eastAsia="仿宋"/>
          <w:color w:val="auto"/>
          <w:sz w:val="32"/>
          <w:szCs w:val="32"/>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w:t>
      </w:r>
      <w:r>
        <w:rPr>
          <w:rFonts w:hint="eastAsia" w:ascii="仿宋" w:hAnsi="仿宋" w:eastAsia="仿宋" w:cs="仿宋"/>
          <w:color w:val="auto"/>
          <w:sz w:val="32"/>
          <w:szCs w:val="32"/>
        </w:rPr>
        <w:t>承办</w:t>
      </w:r>
      <w:r>
        <w:rPr>
          <w:rFonts w:hint="eastAsia" w:ascii="仿宋" w:hAnsi="仿宋" w:eastAsia="仿宋" w:cs="仿宋"/>
          <w:color w:val="auto"/>
          <w:sz w:val="32"/>
          <w:szCs w:val="32"/>
          <w:lang w:eastAsia="zh-CN"/>
        </w:rPr>
        <w:t>上级</w:t>
      </w:r>
      <w:r>
        <w:rPr>
          <w:rFonts w:hint="eastAsia" w:ascii="仿宋" w:hAnsi="仿宋" w:eastAsia="仿宋"/>
          <w:sz w:val="32"/>
          <w:szCs w:val="32"/>
        </w:rPr>
        <w:t>党政领导及主管部门</w:t>
      </w:r>
      <w:r>
        <w:rPr>
          <w:rFonts w:hint="eastAsia" w:ascii="仿宋" w:hAnsi="仿宋" w:eastAsia="仿宋" w:cs="仿宋"/>
          <w:color w:val="auto"/>
          <w:sz w:val="32"/>
          <w:szCs w:val="32"/>
          <w:lang w:eastAsia="zh-CN"/>
        </w:rPr>
        <w:t>和本级党委、政府交由处</w:t>
      </w:r>
      <w:r>
        <w:rPr>
          <w:rFonts w:hint="eastAsia" w:ascii="仿宋" w:hAnsi="仿宋" w:eastAsia="仿宋" w:cs="仿宋"/>
          <w:color w:val="auto"/>
          <w:sz w:val="32"/>
          <w:szCs w:val="32"/>
        </w:rPr>
        <w:t>理的信访事项。</w:t>
      </w:r>
    </w:p>
    <w:p>
      <w:pPr>
        <w:keepNext w:val="0"/>
        <w:keepLines w:val="0"/>
        <w:pageBreakBefore w:val="0"/>
        <w:widowControl w:val="0"/>
        <w:kinsoku/>
        <w:overflowPunct/>
        <w:topLinePunct w:val="0"/>
        <w:autoSpaceDE/>
        <w:bidi w:val="0"/>
        <w:adjustRightInd/>
        <w:snapToGrid/>
        <w:spacing w:before="0" w:beforeLines="0" w:after="0" w:afterLines="0" w:line="700" w:lineRule="exact"/>
        <w:ind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(三)承办县委、县人民政府领导同志交办的信访事项，督促检查有关单位落实各级领导对群众来信批示件的情况；负责交办各乡镇（园区）和县直部门信访事项，</w:t>
      </w:r>
      <w:r>
        <w:rPr>
          <w:rFonts w:hint="eastAsia" w:ascii="仿宋" w:hAnsi="仿宋" w:eastAsia="仿宋" w:cs="仿宋"/>
          <w:sz w:val="32"/>
          <w:szCs w:val="32"/>
        </w:rPr>
        <w:t>督促检查重要信访事项的处理和落实。</w:t>
      </w:r>
      <w:r>
        <w:rPr>
          <w:rFonts w:hint="eastAsia" w:ascii="仿宋" w:hAnsi="仿宋" w:eastAsia="仿宋"/>
          <w:sz w:val="32"/>
          <w:szCs w:val="32"/>
        </w:rPr>
        <w:t xml:space="preserve"> </w:t>
      </w:r>
    </w:p>
    <w:p>
      <w:pPr>
        <w:spacing w:line="600" w:lineRule="exact"/>
        <w:rPr>
          <w:rFonts w:hint="eastAsia" w:ascii="仿宋" w:hAnsi="仿宋" w:eastAsia="仿宋"/>
          <w:sz w:val="32"/>
          <w:szCs w:val="32"/>
        </w:rPr>
      </w:pPr>
      <w:r>
        <w:rPr>
          <w:rFonts w:hint="eastAsia" w:ascii="仿宋" w:hAnsi="仿宋" w:eastAsia="仿宋"/>
          <w:sz w:val="32"/>
          <w:szCs w:val="32"/>
        </w:rPr>
        <w:t xml:space="preserve">　　(四)协同有关部门处理跨地区、跨部门的重大信访问题和纠纷问题；协调处理群众到市赴省进京上访和异常突发性信访事项；协调全县各级党政机关的信访工作。 </w:t>
      </w:r>
    </w:p>
    <w:p>
      <w:pPr>
        <w:spacing w:line="600" w:lineRule="exact"/>
        <w:rPr>
          <w:rFonts w:hint="eastAsia" w:ascii="仿宋" w:hAnsi="仿宋" w:eastAsia="仿宋"/>
          <w:sz w:val="32"/>
          <w:szCs w:val="32"/>
        </w:rPr>
      </w:pPr>
      <w:r>
        <w:rPr>
          <w:rFonts w:hint="eastAsia" w:ascii="仿宋" w:hAnsi="仿宋" w:eastAsia="仿宋"/>
          <w:sz w:val="32"/>
          <w:szCs w:val="32"/>
        </w:rPr>
        <w:t>　　(五)指导全县信访业务工作</w:t>
      </w:r>
      <w:r>
        <w:rPr>
          <w:rFonts w:hint="eastAsia" w:ascii="仿宋" w:hAnsi="仿宋" w:eastAsia="仿宋"/>
          <w:sz w:val="32"/>
          <w:szCs w:val="32"/>
          <w:lang w:eastAsia="zh-CN"/>
        </w:rPr>
        <w:t>；</w:t>
      </w:r>
      <w:r>
        <w:rPr>
          <w:rFonts w:hint="eastAsia" w:ascii="仿宋" w:hAnsi="仿宋" w:eastAsia="仿宋"/>
          <w:sz w:val="32"/>
          <w:szCs w:val="32"/>
        </w:rPr>
        <w:t>研究、起草有关信访工作</w:t>
      </w:r>
      <w:r>
        <w:rPr>
          <w:rFonts w:hint="eastAsia" w:ascii="仿宋" w:hAnsi="仿宋" w:eastAsia="仿宋" w:cs="仿宋"/>
          <w:sz w:val="32"/>
          <w:szCs w:val="32"/>
        </w:rPr>
        <w:t>方面</w:t>
      </w:r>
      <w:r>
        <w:rPr>
          <w:rFonts w:hint="eastAsia" w:ascii="仿宋" w:hAnsi="仿宋" w:eastAsia="仿宋" w:cs="仿宋"/>
          <w:sz w:val="32"/>
          <w:szCs w:val="32"/>
          <w:lang w:eastAsia="zh-CN"/>
        </w:rPr>
        <w:t>政策性</w:t>
      </w:r>
      <w:r>
        <w:rPr>
          <w:rFonts w:hint="eastAsia" w:ascii="仿宋" w:hAnsi="仿宋" w:eastAsia="仿宋" w:cs="仿宋"/>
          <w:sz w:val="32"/>
          <w:szCs w:val="32"/>
        </w:rPr>
        <w:t>文件</w:t>
      </w:r>
      <w:r>
        <w:rPr>
          <w:rFonts w:hint="eastAsia" w:ascii="仿宋" w:hAnsi="仿宋" w:eastAsia="仿宋"/>
          <w:sz w:val="32"/>
          <w:szCs w:val="32"/>
        </w:rPr>
        <w:t>；开展信访工作宣传和理论研讨；总结推广信访工作经验，提出改进和加强信访工作的意见</w:t>
      </w:r>
      <w:r>
        <w:rPr>
          <w:rFonts w:hint="eastAsia" w:ascii="仿宋" w:hAnsi="仿宋" w:eastAsia="仿宋"/>
          <w:sz w:val="32"/>
          <w:szCs w:val="32"/>
          <w:lang w:eastAsia="zh-CN"/>
        </w:rPr>
        <w:t>和建议</w:t>
      </w:r>
      <w:r>
        <w:rPr>
          <w:rFonts w:hint="eastAsia" w:ascii="仿宋" w:hAnsi="仿宋" w:eastAsia="仿宋"/>
          <w:sz w:val="32"/>
          <w:szCs w:val="32"/>
        </w:rPr>
        <w:t xml:space="preserve">。 </w:t>
      </w:r>
    </w:p>
    <w:p>
      <w:pPr>
        <w:spacing w:line="600" w:lineRule="exact"/>
        <w:rPr>
          <w:rFonts w:hint="eastAsia" w:ascii="仿宋" w:hAnsi="仿宋" w:eastAsia="仿宋"/>
          <w:sz w:val="32"/>
          <w:szCs w:val="32"/>
        </w:rPr>
      </w:pPr>
      <w:r>
        <w:rPr>
          <w:rFonts w:hint="eastAsia" w:ascii="仿宋" w:hAnsi="仿宋" w:eastAsia="仿宋"/>
          <w:sz w:val="32"/>
          <w:szCs w:val="32"/>
        </w:rPr>
        <w:t xml:space="preserve">　　(六)抓好全县信访工作队伍的建设，对信访工作中的失职、渎职行为提出处理建议；组织信访干部培训，指导信访部门办公自动化建设。 </w:t>
      </w:r>
    </w:p>
    <w:p>
      <w:pPr>
        <w:keepNext w:val="0"/>
        <w:keepLines w:val="0"/>
        <w:pageBreakBefore w:val="0"/>
        <w:widowControl w:val="0"/>
        <w:kinsoku/>
        <w:overflowPunct/>
        <w:topLinePunct w:val="0"/>
        <w:autoSpaceDE/>
        <w:bidi w:val="0"/>
        <w:adjustRightInd/>
        <w:snapToGrid/>
        <w:spacing w:before="0" w:beforeLines="0" w:after="0" w:afterLines="0" w:line="700" w:lineRule="exact"/>
        <w:ind w:left="0" w:leftChars="0" w:right="0" w:rightChars="0" w:firstLine="640" w:firstLineChars="200"/>
        <w:jc w:val="left"/>
        <w:textAlignment w:val="auto"/>
        <w:outlineLvl w:val="9"/>
        <w:rPr>
          <w:rFonts w:hint="eastAsia" w:ascii="仿宋" w:hAnsi="仿宋" w:eastAsia="仿宋"/>
          <w:sz w:val="32"/>
          <w:szCs w:val="32"/>
          <w:lang w:eastAsia="zh-CN"/>
        </w:rPr>
      </w:pPr>
      <w:r>
        <w:rPr>
          <w:rFonts w:hint="eastAsia" w:ascii="仿宋" w:hAnsi="仿宋" w:eastAsia="仿宋"/>
          <w:sz w:val="32"/>
          <w:szCs w:val="32"/>
        </w:rPr>
        <w:t>(七)</w:t>
      </w:r>
      <w:r>
        <w:rPr>
          <w:rFonts w:hint="eastAsia" w:ascii="仿宋" w:hAnsi="仿宋" w:eastAsia="仿宋" w:cs="仿宋"/>
          <w:sz w:val="32"/>
          <w:szCs w:val="32"/>
        </w:rPr>
        <w:t>负责信访工作的宣传和信息发布</w:t>
      </w:r>
      <w:r>
        <w:rPr>
          <w:rFonts w:hint="eastAsia" w:ascii="仿宋" w:hAnsi="仿宋" w:eastAsia="仿宋" w:cs="仿宋"/>
          <w:sz w:val="32"/>
          <w:szCs w:val="32"/>
          <w:lang w:eastAsia="zh-CN"/>
        </w:rPr>
        <w:t>。</w:t>
      </w:r>
    </w:p>
    <w:p>
      <w:pPr>
        <w:keepNext w:val="0"/>
        <w:keepLines w:val="0"/>
        <w:pageBreakBefore w:val="0"/>
        <w:widowControl w:val="0"/>
        <w:kinsoku/>
        <w:overflowPunct/>
        <w:topLinePunct w:val="0"/>
        <w:autoSpaceDE/>
        <w:bidi w:val="0"/>
        <w:adjustRightInd/>
        <w:snapToGrid/>
        <w:spacing w:before="0" w:beforeLines="0" w:after="0" w:afterLines="0" w:line="7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sz w:val="32"/>
          <w:szCs w:val="32"/>
        </w:rPr>
        <w:t>(</w:t>
      </w:r>
      <w:r>
        <w:rPr>
          <w:rFonts w:hint="eastAsia" w:ascii="仿宋" w:hAnsi="仿宋" w:eastAsia="仿宋"/>
          <w:sz w:val="32"/>
          <w:szCs w:val="32"/>
          <w:lang w:eastAsia="zh-CN"/>
        </w:rPr>
        <w:t>八</w:t>
      </w:r>
      <w:r>
        <w:rPr>
          <w:rFonts w:hint="eastAsia" w:ascii="仿宋" w:hAnsi="仿宋" w:eastAsia="仿宋"/>
          <w:sz w:val="32"/>
          <w:szCs w:val="32"/>
        </w:rPr>
        <w:t>)承办县委、县政府交办的其他</w:t>
      </w:r>
      <w:r>
        <w:rPr>
          <w:rFonts w:hint="eastAsia" w:ascii="仿宋" w:hAnsi="仿宋" w:eastAsia="仿宋"/>
          <w:sz w:val="32"/>
          <w:szCs w:val="32"/>
          <w:lang w:eastAsia="zh-CN"/>
        </w:rPr>
        <w:t>事项</w:t>
      </w:r>
      <w:r>
        <w:rPr>
          <w:rFonts w:hint="eastAsia" w:ascii="仿宋" w:hAnsi="仿宋" w:eastAsia="仿宋"/>
          <w:sz w:val="32"/>
          <w:szCs w:val="32"/>
        </w:rPr>
        <w:t>。</w:t>
      </w:r>
    </w:p>
    <w:p>
      <w:pPr>
        <w:keepNext w:val="0"/>
        <w:keepLines w:val="0"/>
        <w:widowControl/>
        <w:suppressLineNumbers w:val="0"/>
        <w:ind w:firstLine="420" w:firstLineChars="200"/>
        <w:jc w:val="left"/>
        <w:rPr>
          <w:color w:val="5B9BD5" w:themeColor="accent1"/>
          <w14:textFill>
            <w14:solidFill>
              <w14:schemeClr w14:val="accent1"/>
            </w14:solidFill>
          </w14:textFill>
        </w:rPr>
      </w:pP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keepNext w:val="0"/>
        <w:keepLines w:val="0"/>
        <w:pageBreakBefore w:val="0"/>
        <w:widowControl w:val="0"/>
        <w:kinsoku/>
        <w:overflowPunct/>
        <w:topLinePunct w:val="0"/>
        <w:autoSpaceDE/>
        <w:bidi w:val="0"/>
        <w:adjustRightInd/>
        <w:snapToGrid/>
        <w:spacing w:before="0" w:beforeLines="0" w:after="0" w:afterLines="0" w:line="700" w:lineRule="exac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val="en-US" w:eastAsia="zh-CN"/>
        </w:rPr>
        <w:t>襄垣县信访局机关内设2个职能中心。职能中心分别为：襄垣县接待调处中心、襄垣县网络投诉受理中心。襄垣县接待调处中心和襄垣县网络投诉受理中心2个事业单位。现有行政、事业编制14名，其中，行政编制6名，事业编制8名。实有10人，其中公务员5名，事业人员5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keepNext w:val="0"/>
        <w:keepLines w:val="0"/>
        <w:pageBreakBefore w:val="0"/>
        <w:widowControl w:val="0"/>
        <w:kinsoku/>
        <w:overflowPunct/>
        <w:topLinePunct w:val="0"/>
        <w:autoSpaceDE/>
        <w:bidi w:val="0"/>
        <w:adjustRightInd/>
        <w:snapToGrid/>
        <w:spacing w:before="0" w:beforeLines="0" w:after="0" w:afterLines="0" w:line="7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现有行政、事业编制14名，其中，行政编制6名，事业编制8名。实有10人，其中公务员5名，事业人员5名。</w:t>
      </w:r>
    </w:p>
    <w:p>
      <w:pPr>
        <w:ind w:firstLine="645"/>
        <w:rPr>
          <w:rFonts w:hint="eastAsia" w:ascii="仿宋" w:hAnsi="仿宋" w:eastAsia="仿宋"/>
          <w:sz w:val="32"/>
          <w:szCs w:val="32"/>
          <w:lang w:val="en-US" w:eastAsia="zh-CN"/>
        </w:rPr>
      </w:pPr>
      <w:r>
        <w:rPr>
          <w:rFonts w:hint="eastAsia" w:ascii="仿宋" w:hAnsi="仿宋" w:eastAsia="仿宋" w:cs="仿宋_GB2312"/>
          <w:kern w:val="2"/>
          <w:sz w:val="32"/>
          <w:szCs w:val="32"/>
          <w:lang w:val="en-US" w:eastAsia="zh-CN" w:bidi="ar"/>
        </w:rPr>
        <w:t>（三）</w:t>
      </w:r>
      <w:r>
        <w:rPr>
          <w:rFonts w:hint="eastAsia" w:ascii="仿宋" w:hAnsi="仿宋" w:eastAsia="仿宋"/>
          <w:sz w:val="32"/>
          <w:szCs w:val="32"/>
          <w:lang w:val="en-US" w:eastAsia="zh-CN"/>
        </w:rPr>
        <w:t>本套部门决算汇编范围的单位共1个，包括：襄垣县信访局。</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 xml:space="preserve">第二部分  </w:t>
      </w:r>
      <w:r>
        <w:rPr>
          <w:rFonts w:hint="eastAsia" w:ascii="黑体" w:hAnsi="黑体" w:eastAsia="黑体" w:cstheme="minorEastAsia"/>
          <w:sz w:val="32"/>
          <w:szCs w:val="32"/>
          <w:lang w:val="en-US" w:eastAsia="zh-CN"/>
        </w:rPr>
        <w:t>2018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w:t>
      </w:r>
      <w:r>
        <w:rPr>
          <w:rFonts w:hint="eastAsia" w:ascii="黑体" w:hAnsi="黑体" w:eastAsia="黑体" w:cstheme="minorEastAsia"/>
          <w:sz w:val="32"/>
          <w:szCs w:val="32"/>
          <w:lang w:val="en-US" w:eastAsia="zh-CN"/>
        </w:rPr>
        <w:t>18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w:t>
      </w:r>
      <w:r>
        <w:rPr>
          <w:rFonts w:hint="eastAsia" w:ascii="仿宋_GB2312" w:eastAsia="仿宋_GB2312" w:hAnsiTheme="minorEastAsia" w:cstheme="minorEastAsia"/>
          <w:sz w:val="32"/>
          <w:szCs w:val="32"/>
          <w:lang w:val="en-US" w:eastAsia="zh-CN"/>
        </w:rPr>
        <w:t>2018</w:t>
      </w:r>
      <w:r>
        <w:rPr>
          <w:rFonts w:hint="eastAsia" w:ascii="仿宋_GB2312" w:eastAsia="仿宋_GB2312" w:hAnsiTheme="minorEastAsia" w:cstheme="minorEastAsia"/>
          <w:sz w:val="32"/>
          <w:szCs w:val="32"/>
        </w:rPr>
        <w:t>年度收入总计</w:t>
      </w:r>
      <w:r>
        <w:rPr>
          <w:rFonts w:hint="eastAsia" w:ascii="仿宋_GB2312" w:eastAsia="仿宋_GB2312" w:hAnsiTheme="minorEastAsia" w:cstheme="minorEastAsia"/>
          <w:sz w:val="32"/>
          <w:szCs w:val="32"/>
          <w:lang w:val="en-US" w:eastAsia="zh-CN"/>
        </w:rPr>
        <w:t>6377236.85</w:t>
      </w:r>
      <w:r>
        <w:rPr>
          <w:rFonts w:hint="eastAsia" w:ascii="仿宋_GB2312" w:eastAsia="仿宋_GB2312" w:hAnsiTheme="minorEastAsia" w:cstheme="minorEastAsia"/>
          <w:sz w:val="32"/>
          <w:szCs w:val="32"/>
        </w:rPr>
        <w:t>万元，其中年初结转和结余</w:t>
      </w:r>
      <w:r>
        <w:rPr>
          <w:rFonts w:hint="eastAsia" w:ascii="仿宋_GB2312" w:eastAsia="仿宋_GB2312" w:hAnsiTheme="minorEastAsia" w:cstheme="minorEastAsia"/>
          <w:sz w:val="32"/>
          <w:szCs w:val="32"/>
          <w:lang w:val="en-US" w:eastAsia="zh-CN"/>
        </w:rPr>
        <w:t>13779.77</w:t>
      </w:r>
      <w:r>
        <w:rPr>
          <w:rFonts w:hint="eastAsia" w:ascii="仿宋_GB2312" w:eastAsia="仿宋_GB2312" w:hAnsiTheme="minorEastAsia" w:cstheme="minorEastAsia"/>
          <w:sz w:val="32"/>
          <w:szCs w:val="32"/>
        </w:rPr>
        <w:t>万元，较20</w:t>
      </w:r>
      <w:r>
        <w:rPr>
          <w:rFonts w:hint="eastAsia" w:ascii="仿宋_GB2312" w:eastAsia="仿宋_GB2312" w:hAnsiTheme="minorEastAsia" w:cstheme="minorEastAsia"/>
          <w:sz w:val="32"/>
          <w:szCs w:val="32"/>
          <w:lang w:val="en-US" w:eastAsia="zh-CN"/>
        </w:rPr>
        <w:t>17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减少17.32</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26</w:t>
      </w:r>
      <w:r>
        <w:rPr>
          <w:rFonts w:hint="eastAsia" w:ascii="仿宋_GB2312" w:eastAsia="仿宋_GB2312" w:hAnsiTheme="minorEastAsia" w:cstheme="minorEastAsia"/>
          <w:sz w:val="32"/>
          <w:szCs w:val="32"/>
        </w:rPr>
        <w:t>%；本年收入合计</w:t>
      </w:r>
      <w:r>
        <w:rPr>
          <w:rFonts w:hint="eastAsia" w:ascii="仿宋_GB2312" w:eastAsia="仿宋_GB2312" w:hAnsiTheme="minorEastAsia" w:cstheme="minorEastAsia"/>
          <w:sz w:val="32"/>
          <w:szCs w:val="32"/>
          <w:lang w:val="en-US" w:eastAsia="zh-CN"/>
        </w:rPr>
        <w:t>637.72</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增加341.32</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val="en-US" w:eastAsia="zh-CN"/>
        </w:rPr>
        <w:t>上升68</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项目增加</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本年收入的具体构成为：财政拨款收入</w:t>
      </w:r>
      <w:r>
        <w:rPr>
          <w:rFonts w:hint="eastAsia" w:ascii="仿宋_GB2312" w:eastAsia="仿宋_GB2312" w:hAnsiTheme="minorEastAsia" w:cstheme="minorEastAsia"/>
          <w:sz w:val="32"/>
          <w:szCs w:val="32"/>
          <w:lang w:val="en-US" w:eastAsia="zh-CN"/>
        </w:rPr>
        <w:t>637.72</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%；其他收入</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年度支出总计</w:t>
      </w:r>
      <w:r>
        <w:rPr>
          <w:rFonts w:hint="eastAsia" w:ascii="仿宋_GB2312" w:eastAsia="仿宋_GB2312" w:hAnsiTheme="minorEastAsia" w:cstheme="minorEastAsia"/>
          <w:sz w:val="32"/>
          <w:szCs w:val="32"/>
          <w:lang w:val="en-US" w:eastAsia="zh-CN"/>
        </w:rPr>
        <w:t>637.90</w:t>
      </w:r>
      <w:r>
        <w:rPr>
          <w:rFonts w:hint="eastAsia" w:ascii="仿宋_GB2312" w:eastAsia="仿宋_GB2312" w:hAnsiTheme="minorEastAsia" w:cstheme="minorEastAsia"/>
          <w:sz w:val="32"/>
          <w:szCs w:val="32"/>
        </w:rPr>
        <w:t>万元，其中本年支出合计</w:t>
      </w:r>
      <w:r>
        <w:rPr>
          <w:rFonts w:hint="eastAsia" w:ascii="仿宋_GB2312" w:eastAsia="仿宋_GB2312" w:hAnsiTheme="minorEastAsia" w:cstheme="minorEastAsia"/>
          <w:sz w:val="32"/>
          <w:szCs w:val="32"/>
          <w:lang w:val="en-US" w:eastAsia="zh-CN"/>
        </w:rPr>
        <w:t>637.90</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增加326.18</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val="en-US" w:eastAsia="zh-CN"/>
        </w:rPr>
        <w:t>上升17</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项目经费增加。</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本年支出的具体构成为：基本支出</w:t>
      </w:r>
      <w:r>
        <w:rPr>
          <w:rFonts w:hint="eastAsia" w:ascii="仿宋_GB2312" w:eastAsia="仿宋_GB2312" w:hAnsiTheme="minorEastAsia" w:cstheme="minorEastAsia"/>
          <w:sz w:val="32"/>
          <w:szCs w:val="32"/>
          <w:lang w:val="en-US" w:eastAsia="zh-CN"/>
        </w:rPr>
        <w:t>95.46</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85</w:t>
      </w:r>
      <w:r>
        <w:rPr>
          <w:rFonts w:hint="eastAsia" w:ascii="仿宋_GB2312" w:eastAsia="仿宋_GB2312" w:hAnsiTheme="minorEastAsia" w:cstheme="minorEastAsia"/>
          <w:sz w:val="32"/>
          <w:szCs w:val="32"/>
        </w:rPr>
        <w:t>%；项目支出</w:t>
      </w:r>
      <w:r>
        <w:rPr>
          <w:rFonts w:hint="eastAsia" w:ascii="仿宋_GB2312" w:eastAsia="仿宋_GB2312" w:hAnsiTheme="minorEastAsia" w:cstheme="minorEastAsia"/>
          <w:sz w:val="32"/>
          <w:szCs w:val="32"/>
          <w:lang w:val="en-US" w:eastAsia="zh-CN"/>
        </w:rPr>
        <w:t>542.44</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14</w:t>
      </w:r>
      <w:r>
        <w:rPr>
          <w:rFonts w:hint="eastAsia" w:ascii="仿宋_GB2312" w:eastAsia="仿宋_GB2312" w:hAnsiTheme="minorEastAsia" w:cstheme="minorEastAsia"/>
          <w:sz w:val="32"/>
          <w:szCs w:val="32"/>
        </w:rPr>
        <w:t>%。</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 xml:space="preserve">年度财政拨款本年支出年初预算数为   </w:t>
      </w:r>
      <w:r>
        <w:rPr>
          <w:rFonts w:hint="eastAsia" w:ascii="仿宋_GB2312" w:eastAsia="仿宋_GB2312" w:hAnsiTheme="minorEastAsia" w:cstheme="minorEastAsia"/>
          <w:sz w:val="32"/>
          <w:szCs w:val="32"/>
          <w:lang w:val="en-US" w:eastAsia="zh-CN"/>
        </w:rPr>
        <w:t>637.72</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639.90</w:t>
      </w:r>
      <w:r>
        <w:rPr>
          <w:rFonts w:hint="eastAsia" w:ascii="仿宋_GB2312" w:eastAsia="仿宋_GB2312" w:hAnsiTheme="minorEastAsia" w:cstheme="minorEastAsia"/>
          <w:sz w:val="32"/>
          <w:szCs w:val="32"/>
        </w:rPr>
        <w:t>万元，完成年初预算的</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 xml:space="preserve"> %。其中：一般公共服务支出年初预算数为</w:t>
      </w:r>
      <w:r>
        <w:rPr>
          <w:rFonts w:hint="eastAsia" w:ascii="仿宋_GB2312" w:eastAsia="仿宋_GB2312" w:hAnsiTheme="minorEastAsia" w:cstheme="minorEastAsia"/>
          <w:sz w:val="32"/>
          <w:szCs w:val="32"/>
          <w:lang w:val="en-US" w:eastAsia="zh-CN"/>
        </w:rPr>
        <w:t>215.66</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215.83</w:t>
      </w:r>
      <w:r>
        <w:rPr>
          <w:rFonts w:hint="eastAsia" w:ascii="仿宋_GB2312" w:eastAsia="仿宋_GB2312" w:hAnsiTheme="minorEastAsia" w:cstheme="minorEastAsia"/>
          <w:sz w:val="32"/>
          <w:szCs w:val="32"/>
        </w:rPr>
        <w:t xml:space="preserve">万元，完成年初预算的 </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年度一般公共预算财政拨款基本支出</w:t>
      </w:r>
      <w:r>
        <w:rPr>
          <w:rFonts w:hint="eastAsia" w:ascii="仿宋_GB2312" w:eastAsia="仿宋_GB2312" w:hAnsiTheme="minorEastAsia" w:cstheme="minorEastAsia"/>
          <w:sz w:val="32"/>
          <w:szCs w:val="32"/>
          <w:lang w:val="en-US" w:eastAsia="zh-CN"/>
        </w:rPr>
        <w:t>77.46</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rPr>
        <w:t>，其中：</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w:t>
      </w:r>
      <w:r>
        <w:rPr>
          <w:rFonts w:hint="eastAsia" w:ascii="仿宋_GB2312" w:eastAsia="仿宋_GB2312" w:hAnsiTheme="minorEastAsia" w:cstheme="minorEastAsia"/>
          <w:sz w:val="32"/>
          <w:szCs w:val="32"/>
          <w:lang w:val="en-US" w:eastAsia="zh-CN"/>
        </w:rPr>
        <w:t>78.97</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减少6.7</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val="en-US" w:eastAsia="zh-CN"/>
        </w:rPr>
        <w:t>下降7</w:t>
      </w:r>
      <w:r>
        <w:rPr>
          <w:rFonts w:hint="eastAsia" w:ascii="仿宋_GB2312" w:eastAsia="仿宋_GB2312" w:hAnsiTheme="minorEastAsia" w:cstheme="minorEastAsia"/>
          <w:sz w:val="32"/>
          <w:szCs w:val="32"/>
        </w:rPr>
        <w:t>%，主要原因是：正式人员工资和临时工工资。</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w:t>
      </w:r>
      <w:r>
        <w:rPr>
          <w:rFonts w:hint="eastAsia" w:ascii="仿宋_GB2312" w:eastAsia="仿宋_GB2312" w:hAnsiTheme="minorEastAsia" w:cstheme="minorEastAsia"/>
          <w:sz w:val="32"/>
          <w:szCs w:val="32"/>
          <w:lang w:val="en-US" w:eastAsia="zh-CN"/>
        </w:rPr>
        <w:t>16.30</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sz w:val="32"/>
          <w:szCs w:val="32"/>
          <w:lang w:val="en-US" w:eastAsia="zh-CN"/>
        </w:rPr>
        <w:t>2.30</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12</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经费压缩</w:t>
      </w:r>
      <w:r>
        <w:rPr>
          <w:rFonts w:hint="eastAsia" w:ascii="仿宋_GB2312" w:eastAsia="仿宋_GB2312" w:hAnsiTheme="minorEastAsia" w:cstheme="minorEastAsia"/>
          <w:sz w:val="32"/>
          <w:szCs w:val="32"/>
        </w:rPr>
        <w:t>。</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（三）对个人和家庭补助支出</w:t>
      </w:r>
      <w:r>
        <w:rPr>
          <w:rFonts w:hint="eastAsia" w:ascii="仿宋_GB2312" w:eastAsia="仿宋_GB2312" w:hAnsiTheme="minorEastAsia" w:cstheme="minorEastAsia"/>
          <w:sz w:val="32"/>
          <w:szCs w:val="32"/>
          <w:lang w:val="en-US" w:eastAsia="zh-CN"/>
        </w:rPr>
        <w:t>0.19</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sz w:val="32"/>
          <w:szCs w:val="32"/>
          <w:lang w:val="en-US" w:eastAsia="zh-CN"/>
        </w:rPr>
        <w:t>5.37</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%，主要原因是：活动减少。</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（四）资本性支出</w:t>
      </w:r>
      <w:r>
        <w:rPr>
          <w:rFonts w:hint="eastAsia" w:ascii="仿宋_GB2312" w:eastAsia="仿宋_GB2312" w:hAnsiTheme="minorEastAsia" w:cstheme="minorEastAsia"/>
          <w:sz w:val="32"/>
          <w:szCs w:val="32"/>
          <w:lang w:val="en-US" w:eastAsia="zh-CN"/>
        </w:rPr>
        <w:t>47.3</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w:t>
      </w:r>
      <w:r>
        <w:rPr>
          <w:rFonts w:hint="eastAsia" w:ascii="仿宋_GB2312" w:eastAsia="仿宋_GB2312" w:hAnsiTheme="minorEastAsia" w:cstheme="minorEastAsia"/>
          <w:sz w:val="32"/>
          <w:szCs w:val="32"/>
          <w:lang w:val="en-US" w:eastAsia="zh-CN"/>
        </w:rPr>
        <w:t>47.5</w:t>
      </w:r>
      <w:r>
        <w:rPr>
          <w:rFonts w:hint="eastAsia" w:ascii="仿宋_GB2312" w:eastAsia="仿宋_GB2312" w:hAnsiTheme="minorEastAsia" w:cstheme="minorEastAsia"/>
          <w:sz w:val="32"/>
          <w:szCs w:val="32"/>
        </w:rPr>
        <w:t>万元，主要原因是：</w:t>
      </w:r>
      <w:r>
        <w:rPr>
          <w:rFonts w:hint="eastAsia" w:ascii="仿宋_GB2312" w:eastAsia="仿宋_GB2312" w:hAnsiTheme="minorEastAsia" w:cstheme="minorEastAsia"/>
          <w:sz w:val="32"/>
          <w:szCs w:val="32"/>
          <w:lang w:val="en-US" w:eastAsia="zh-CN"/>
        </w:rPr>
        <w:t>设备购置</w:t>
      </w:r>
      <w:r>
        <w:rPr>
          <w:rFonts w:hint="eastAsia" w:ascii="仿宋_GB2312" w:eastAsia="仿宋_GB2312" w:hAnsiTheme="minorEastAsia" w:cstheme="minorEastAsia"/>
          <w:sz w:val="32"/>
          <w:szCs w:val="32"/>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年度一般公共预算财政拨款“三公”经费支出年初预算数为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%，其中：</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　　（二）公务接待费支出年初预算数为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eastAsia="zh-CN"/>
        </w:rPr>
        <w:t>无变化</w:t>
      </w:r>
      <w:r>
        <w:rPr>
          <w:rFonts w:hint="eastAsia" w:ascii="仿宋_GB2312" w:eastAsia="仿宋_GB2312" w:hAnsiTheme="minorEastAsia" w:cstheme="minorEastAsia"/>
          <w:sz w:val="32"/>
          <w:szCs w:val="32"/>
        </w:rPr>
        <w:t>。</w:t>
      </w:r>
    </w:p>
    <w:p>
      <w:pPr>
        <w:ind w:firstLine="640" w:firstLineChars="200"/>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（三）公务用车购置及运行维护费支出0</w:t>
      </w:r>
      <w:r>
        <w:rPr>
          <w:rFonts w:hint="eastAsia" w:ascii="仿宋_GB2312" w:eastAsia="仿宋_GB2312" w:hAnsiTheme="minorEastAsia" w:cstheme="minorEastAsia"/>
          <w:sz w:val="32"/>
          <w:szCs w:val="32"/>
        </w:rPr>
        <w:t>万元，其中公务用车购置年初预算数为0</w:t>
      </w:r>
      <w:r>
        <w:rPr>
          <w:rFonts w:hint="eastAsia" w:ascii="仿宋_GB2312" w:eastAsia="仿宋_GB2312" w:hAnsiTheme="minorEastAsia" w:cstheme="minorEastAsia"/>
          <w:sz w:val="32"/>
          <w:szCs w:val="32"/>
        </w:rPr>
        <w:t>万元，决算数为0</w:t>
      </w:r>
      <w:r>
        <w:rPr>
          <w:rFonts w:hint="eastAsia" w:ascii="仿宋_GB2312" w:eastAsia="仿宋_GB2312" w:hAnsiTheme="minorEastAsia" w:cstheme="minorEastAsia"/>
          <w:sz w:val="32"/>
          <w:szCs w:val="32"/>
        </w:rPr>
        <w:t>万元，完成预算的0%，决算数较201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w:t>
      </w:r>
      <w:r>
        <w:rPr>
          <w:rFonts w:hint="eastAsia" w:ascii="仿宋_GB2312" w:eastAsia="仿宋_GB2312" w:hAnsiTheme="minorEastAsia" w:cstheme="minorEastAsia"/>
          <w:sz w:val="32"/>
          <w:szCs w:val="32"/>
        </w:rPr>
        <w:t>万元，增长（下降）0%；公务用车运行维护费支出年初预算数为0</w:t>
      </w:r>
      <w:r>
        <w:rPr>
          <w:rFonts w:hint="eastAsia" w:ascii="仿宋_GB2312" w:eastAsia="仿宋_GB2312" w:hAnsiTheme="minorEastAsia" w:cstheme="minorEastAsia"/>
          <w:sz w:val="32"/>
          <w:szCs w:val="32"/>
        </w:rPr>
        <w:t>万元，决算数为0</w:t>
      </w:r>
      <w:r>
        <w:rPr>
          <w:rFonts w:hint="eastAsia" w:ascii="仿宋_GB2312" w:eastAsia="仿宋_GB2312" w:hAnsiTheme="minorEastAsia" w:cstheme="minorEastAsia"/>
          <w:sz w:val="32"/>
          <w:szCs w:val="32"/>
        </w:rPr>
        <w:t>万元，完成预算的0%，决算数较201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年增加（减少）0</w:t>
      </w:r>
      <w:r>
        <w:rPr>
          <w:rFonts w:hint="eastAsia" w:ascii="仿宋_GB2312" w:eastAsia="仿宋_GB2312" w:hAnsiTheme="minorEastAsia" w:cstheme="minorEastAsia"/>
          <w:sz w:val="32"/>
          <w:szCs w:val="32"/>
        </w:rPr>
        <w:t>万元，增长（下降）0%。</w:t>
      </w:r>
      <w:r>
        <w:rPr>
          <w:rFonts w:hint="eastAsia" w:ascii="仿宋_GB2312" w:eastAsia="仿宋_GB2312" w:hAnsiTheme="minorEastAsia" w:cstheme="minorEastAsia"/>
          <w:sz w:val="32"/>
          <w:szCs w:val="32"/>
          <w:lang w:eastAsia="zh-CN"/>
        </w:rPr>
        <w:t>本年度公务用车购置数</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lang w:val="en-US" w:eastAsia="zh-CN"/>
        </w:rPr>
        <w:t>，公务用车保有量0</w:t>
      </w:r>
      <w:r>
        <w:rPr>
          <w:rFonts w:hint="eastAsia" w:ascii="仿宋_GB2312" w:eastAsia="仿宋_GB2312" w:hAnsiTheme="minorEastAsia" w:cstheme="minorEastAsia"/>
          <w:sz w:val="32"/>
          <w:szCs w:val="32"/>
          <w:lang w:val="en-US" w:eastAsia="zh-CN"/>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六、政府采购支出情况说明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lang w:eastAsia="zh-CN"/>
        </w:rPr>
        <w:t>年度政府采购支出总额</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lang w:eastAsia="zh-CN"/>
        </w:rPr>
        <w:t>万元，其中：政府采购货物支出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lang w:eastAsia="zh-CN"/>
        </w:rPr>
        <w:t>万元、政府采购工程支出0万元、政府采购服务支出0万元。授予中小企业合同金额0万元，占政府采购支出总额的</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lang w:eastAsia="zh-CN"/>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lang w:eastAsia="zh-CN"/>
        </w:rPr>
        <w:t>年度机关运行经费支出</w:t>
      </w:r>
      <w:r>
        <w:rPr>
          <w:rFonts w:hint="eastAsia" w:ascii="仿宋_GB2312" w:eastAsia="仿宋_GB2312" w:hAnsiTheme="minorEastAsia" w:cstheme="minorEastAsia"/>
          <w:sz w:val="32"/>
          <w:szCs w:val="32"/>
          <w:lang w:val="en-US" w:eastAsia="zh-CN"/>
        </w:rPr>
        <w:t>16.30</w:t>
      </w:r>
      <w:r>
        <w:rPr>
          <w:rFonts w:hint="eastAsia" w:ascii="仿宋_GB2312" w:eastAsia="仿宋_GB2312" w:hAnsiTheme="minorEastAsia" w:cstheme="minorEastAsia"/>
          <w:sz w:val="32"/>
          <w:szCs w:val="32"/>
          <w:lang w:eastAsia="zh-CN"/>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lang w:eastAsia="zh-CN"/>
        </w:rPr>
        <w:t>年减少</w:t>
      </w:r>
      <w:r>
        <w:rPr>
          <w:rFonts w:hint="eastAsia" w:ascii="仿宋_GB2312" w:eastAsia="仿宋_GB2312" w:hAnsiTheme="minorEastAsia" w:cstheme="minorEastAsia"/>
          <w:sz w:val="32"/>
          <w:szCs w:val="32"/>
          <w:lang w:val="en-US" w:eastAsia="zh-CN"/>
        </w:rPr>
        <w:t>2.30</w:t>
      </w:r>
      <w:r>
        <w:rPr>
          <w:rFonts w:hint="eastAsia" w:ascii="仿宋_GB2312" w:eastAsia="仿宋_GB2312" w:hAnsiTheme="minorEastAsia" w:cstheme="minorEastAsia"/>
          <w:sz w:val="32"/>
          <w:szCs w:val="32"/>
          <w:lang w:eastAsia="zh-CN"/>
        </w:rPr>
        <w:t>万元，下降</w:t>
      </w:r>
      <w:r>
        <w:rPr>
          <w:rFonts w:hint="eastAsia" w:ascii="仿宋_GB2312" w:eastAsia="仿宋_GB2312" w:hAnsiTheme="minorEastAsia" w:cstheme="minorEastAsia"/>
          <w:sz w:val="32"/>
          <w:szCs w:val="32"/>
          <w:lang w:val="en-US" w:eastAsia="zh-CN"/>
        </w:rPr>
        <w:t>0.12</w:t>
      </w:r>
      <w:r>
        <w:rPr>
          <w:rFonts w:hint="eastAsia" w:ascii="仿宋_GB2312" w:eastAsia="仿宋_GB2312" w:hAnsiTheme="minorEastAsia" w:cstheme="minorEastAsia"/>
          <w:sz w:val="32"/>
          <w:szCs w:val="32"/>
          <w:lang w:eastAsia="zh-CN"/>
        </w:rPr>
        <w:t xml:space="preserve">%，主要原因是：接待活动减少。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本部门共有车辆数合计0辆；单价50万元以上通用设备0台/套，共计0元；单价100万元以上专用设备0台/套，0元。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kern w:val="2"/>
          <w:sz w:val="32"/>
          <w:szCs w:val="32"/>
          <w:lang w:val="en-US" w:eastAsia="zh-CN" w:bidi="ar-SA"/>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bookmarkStart w:id="0" w:name="_GoBack"/>
      <w:bookmarkEnd w:id="0"/>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71971"/>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5103F"/>
    <w:rsid w:val="00B84099"/>
    <w:rsid w:val="00BD7E57"/>
    <w:rsid w:val="00C91007"/>
    <w:rsid w:val="00CC30DB"/>
    <w:rsid w:val="00CF14FA"/>
    <w:rsid w:val="00D25442"/>
    <w:rsid w:val="00E74F60"/>
    <w:rsid w:val="014A06B6"/>
    <w:rsid w:val="01962572"/>
    <w:rsid w:val="01A11C4D"/>
    <w:rsid w:val="01DA336E"/>
    <w:rsid w:val="04E92ABF"/>
    <w:rsid w:val="05E42E29"/>
    <w:rsid w:val="07190962"/>
    <w:rsid w:val="09AC448E"/>
    <w:rsid w:val="0A677775"/>
    <w:rsid w:val="0AF264FB"/>
    <w:rsid w:val="0C5A5250"/>
    <w:rsid w:val="0C64513E"/>
    <w:rsid w:val="0DE649EC"/>
    <w:rsid w:val="0EE25EB1"/>
    <w:rsid w:val="10CB3E8D"/>
    <w:rsid w:val="114A006B"/>
    <w:rsid w:val="120F58E5"/>
    <w:rsid w:val="13332181"/>
    <w:rsid w:val="13CB43EB"/>
    <w:rsid w:val="16086EB1"/>
    <w:rsid w:val="18FC1E53"/>
    <w:rsid w:val="1B4A6025"/>
    <w:rsid w:val="1E107510"/>
    <w:rsid w:val="1E625748"/>
    <w:rsid w:val="209E0EC3"/>
    <w:rsid w:val="211A54A5"/>
    <w:rsid w:val="22140CC1"/>
    <w:rsid w:val="2557513D"/>
    <w:rsid w:val="25EC3C34"/>
    <w:rsid w:val="26FD3B89"/>
    <w:rsid w:val="2A937DAC"/>
    <w:rsid w:val="2C38784F"/>
    <w:rsid w:val="2DB60033"/>
    <w:rsid w:val="2E371373"/>
    <w:rsid w:val="2F754CA8"/>
    <w:rsid w:val="31792017"/>
    <w:rsid w:val="32F42CD4"/>
    <w:rsid w:val="33486479"/>
    <w:rsid w:val="341824CB"/>
    <w:rsid w:val="343F3937"/>
    <w:rsid w:val="34D53928"/>
    <w:rsid w:val="37015ED3"/>
    <w:rsid w:val="39913C10"/>
    <w:rsid w:val="39E93444"/>
    <w:rsid w:val="3DF115B2"/>
    <w:rsid w:val="3E9C4600"/>
    <w:rsid w:val="3F5C42DA"/>
    <w:rsid w:val="42733593"/>
    <w:rsid w:val="43E475B8"/>
    <w:rsid w:val="458B37F5"/>
    <w:rsid w:val="472671EB"/>
    <w:rsid w:val="48832669"/>
    <w:rsid w:val="48E87EB6"/>
    <w:rsid w:val="497219B7"/>
    <w:rsid w:val="4A4F3891"/>
    <w:rsid w:val="4C2F45AE"/>
    <w:rsid w:val="4CA37BE7"/>
    <w:rsid w:val="4D237419"/>
    <w:rsid w:val="4D9B3CEE"/>
    <w:rsid w:val="502A03FE"/>
    <w:rsid w:val="51947057"/>
    <w:rsid w:val="52567629"/>
    <w:rsid w:val="548215DF"/>
    <w:rsid w:val="554F35D3"/>
    <w:rsid w:val="55D0213F"/>
    <w:rsid w:val="56A7582C"/>
    <w:rsid w:val="582B68F4"/>
    <w:rsid w:val="59AD03CE"/>
    <w:rsid w:val="5D083F24"/>
    <w:rsid w:val="5DF04926"/>
    <w:rsid w:val="600476E5"/>
    <w:rsid w:val="60860A87"/>
    <w:rsid w:val="60B46440"/>
    <w:rsid w:val="63102761"/>
    <w:rsid w:val="635C762A"/>
    <w:rsid w:val="6372057E"/>
    <w:rsid w:val="6764628C"/>
    <w:rsid w:val="6826512B"/>
    <w:rsid w:val="68EC333F"/>
    <w:rsid w:val="6999619A"/>
    <w:rsid w:val="71B60157"/>
    <w:rsid w:val="71FC58C7"/>
    <w:rsid w:val="776750D5"/>
    <w:rsid w:val="7A652ED5"/>
    <w:rsid w:val="7C7014AB"/>
    <w:rsid w:val="7ED25016"/>
    <w:rsid w:val="7EE934F4"/>
    <w:rsid w:val="7FBA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10</TotalTime>
  <ScaleCrop>false</ScaleCrop>
  <LinksUpToDate>false</LinksUpToDate>
  <CharactersWithSpaces>3878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2021-06-07T01:09:30Z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