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EastAsia"/>
          <w:sz w:val="24"/>
        </w:rPr>
      </w:pPr>
      <w:r>
        <w:rPr>
          <w:rFonts w:hint="eastAsia" w:ascii="黑体" w:hAnsi="黑体" w:eastAsia="黑体" w:cstheme="minorEastAsia"/>
          <w:sz w:val="24"/>
        </w:rPr>
        <w:t>附件1：</w:t>
      </w:r>
      <w:r>
        <w:rPr>
          <w:rFonts w:ascii="黑体" w:hAnsi="黑体" w:eastAsia="黑体" w:cstheme="minorEastAsia"/>
          <w:sz w:val="24"/>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rPr>
          <w:rFonts w:ascii="黑体" w:hAnsi="黑体" w:eastAsia="黑体" w:cstheme="minorEastAsia"/>
          <w:sz w:val="52"/>
          <w:szCs w:val="52"/>
        </w:rPr>
      </w:pPr>
    </w:p>
    <w:p>
      <w:pPr>
        <w:jc w:val="center"/>
        <w:rPr>
          <w:rFonts w:hint="default" w:ascii="黑体" w:hAnsi="黑体" w:eastAsia="黑体" w:cstheme="minorEastAsia"/>
          <w:sz w:val="52"/>
          <w:szCs w:val="52"/>
          <w:lang w:val="en-US"/>
        </w:rPr>
      </w:pPr>
      <w:r>
        <w:rPr>
          <w:rFonts w:hint="eastAsia" w:ascii="黑体" w:hAnsi="黑体" w:eastAsia="黑体" w:cstheme="minorEastAsia"/>
          <w:sz w:val="52"/>
          <w:szCs w:val="52"/>
          <w:lang w:eastAsia="zh-CN"/>
        </w:rPr>
        <w:t>襄垣</w:t>
      </w:r>
      <w:r>
        <w:rPr>
          <w:rFonts w:hint="eastAsia" w:ascii="黑体" w:hAnsi="黑体" w:eastAsia="黑体" w:cstheme="minorEastAsia"/>
          <w:sz w:val="52"/>
          <w:szCs w:val="52"/>
        </w:rPr>
        <w:t>县</w:t>
      </w:r>
      <w:r>
        <w:rPr>
          <w:rFonts w:hint="eastAsia" w:ascii="黑体" w:hAnsi="黑体" w:eastAsia="黑体" w:cstheme="minorEastAsia"/>
          <w:sz w:val="52"/>
          <w:szCs w:val="52"/>
          <w:lang w:val="en-US" w:eastAsia="zh-CN"/>
        </w:rPr>
        <w:t>文物</w:t>
      </w:r>
      <w:r>
        <w:rPr>
          <w:rFonts w:hint="eastAsia" w:ascii="Arial" w:hAnsi="Arial" w:eastAsia="黑体" w:cs="Arial"/>
          <w:sz w:val="52"/>
          <w:szCs w:val="52"/>
          <w:lang w:val="en-US" w:eastAsia="zh-CN"/>
        </w:rPr>
        <w:t>旅游发展中心</w:t>
      </w:r>
    </w:p>
    <w:p>
      <w:pPr>
        <w:ind w:firstLine="1040" w:firstLineChars="200"/>
        <w:rPr>
          <w:rFonts w:ascii="黑体" w:hAnsi="黑体" w:eastAsia="黑体" w:cstheme="minorEastAsia"/>
          <w:sz w:val="52"/>
          <w:szCs w:val="52"/>
        </w:rPr>
      </w:pPr>
      <w:r>
        <w:rPr>
          <w:rFonts w:hint="eastAsia" w:ascii="黑体" w:hAnsi="黑体" w:eastAsia="黑体" w:cstheme="minorEastAsia"/>
          <w:sz w:val="52"/>
          <w:szCs w:val="52"/>
        </w:rPr>
        <w:t>201</w:t>
      </w:r>
      <w:r>
        <w:rPr>
          <w:rFonts w:hint="eastAsia" w:ascii="黑体" w:hAnsi="黑体" w:eastAsia="黑体" w:cstheme="minorEastAsia"/>
          <w:sz w:val="52"/>
          <w:szCs w:val="52"/>
          <w:lang w:val="en-US" w:eastAsia="zh-CN"/>
        </w:rPr>
        <w:t>8</w:t>
      </w:r>
      <w:r>
        <w:rPr>
          <w:rFonts w:hint="eastAsia" w:ascii="黑体" w:hAnsi="黑体" w:eastAsia="黑体" w:cstheme="minorEastAsia"/>
          <w:sz w:val="52"/>
          <w:szCs w:val="52"/>
        </w:rPr>
        <w:t>年度部门决算公开说明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2880" w:firstLineChars="900"/>
        <w:rPr>
          <w:rFonts w:ascii="黑体" w:hAnsi="黑体" w:eastAsia="黑体" w:cstheme="minorEastAsia"/>
          <w:sz w:val="32"/>
          <w:szCs w:val="32"/>
        </w:rPr>
      </w:pPr>
      <w:r>
        <w:rPr>
          <w:rFonts w:hint="eastAsia" w:ascii="黑体" w:hAnsi="黑体" w:eastAsia="黑体" w:cstheme="minorEastAsia"/>
          <w:sz w:val="32"/>
          <w:szCs w:val="32"/>
        </w:rPr>
        <w:t>2019年9月1</w:t>
      </w:r>
      <w:r>
        <w:rPr>
          <w:rFonts w:hint="eastAsia" w:ascii="黑体" w:hAnsi="黑体" w:eastAsia="黑体" w:cstheme="minorEastAsia"/>
          <w:sz w:val="32"/>
          <w:szCs w:val="32"/>
          <w:lang w:val="en-US" w:eastAsia="zh-CN"/>
        </w:rPr>
        <w:t>1</w:t>
      </w:r>
      <w:r>
        <w:rPr>
          <w:rFonts w:hint="eastAsia" w:ascii="黑体" w:hAnsi="黑体" w:eastAsia="黑体" w:cstheme="minorEastAsia"/>
          <w:sz w:val="32"/>
          <w:szCs w:val="32"/>
        </w:rPr>
        <w:t>日</w:t>
      </w:r>
    </w:p>
    <w:p>
      <w:pPr>
        <w:ind w:firstLine="640" w:firstLineChars="200"/>
        <w:jc w:val="center"/>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Theme="minorEastAsia" w:hAnsiTheme="minorEastAsia" w:cstheme="minorEastAsia"/>
          <w:sz w:val="32"/>
          <w:szCs w:val="32"/>
        </w:rPr>
      </w:pPr>
    </w:p>
    <w:p>
      <w:pPr>
        <w:spacing w:before="156" w:beforeLines="50" w:after="312" w:afterLines="100"/>
        <w:ind w:firstLine="880" w:firstLineChars="200"/>
        <w:jc w:val="center"/>
        <w:rPr>
          <w:rFonts w:ascii="黑体" w:hAnsi="黑体" w:eastAsia="黑体" w:cstheme="minorEastAsia"/>
          <w:sz w:val="44"/>
          <w:szCs w:val="44"/>
        </w:rPr>
      </w:pPr>
      <w:r>
        <w:rPr>
          <w:rFonts w:hint="eastAsia" w:ascii="黑体" w:hAnsi="黑体" w:eastAsia="黑体" w:cstheme="minorEastAsia"/>
          <w:sz w:val="44"/>
          <w:szCs w:val="44"/>
        </w:rPr>
        <w:t>目 录</w:t>
      </w:r>
    </w:p>
    <w:p>
      <w:pPr>
        <w:rPr>
          <w:rFonts w:ascii="黑体" w:hAnsi="黑体" w:eastAsia="黑体" w:cstheme="minorEastAsia"/>
          <w:sz w:val="32"/>
          <w:szCs w:val="32"/>
        </w:rPr>
      </w:pPr>
      <w:r>
        <w:rPr>
          <w:rFonts w:hint="eastAsia" w:ascii="黑体" w:hAnsi="黑体" w:eastAsia="黑体" w:cstheme="minorEastAsia"/>
          <w:sz w:val="32"/>
          <w:szCs w:val="32"/>
        </w:rPr>
        <w:t>第一部分  部门概况</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一、部门主要职责</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rPr>
        <w:t>二、部门</w:t>
      </w:r>
      <w:r>
        <w:rPr>
          <w:rFonts w:hint="eastAsia" w:ascii="仿宋_GB2312" w:eastAsia="仿宋_GB2312" w:hAnsiTheme="minorEastAsia" w:cstheme="minorEastAsia"/>
          <w:sz w:val="32"/>
          <w:szCs w:val="32"/>
          <w:lang w:eastAsia="zh-CN"/>
        </w:rPr>
        <w:t>基本情况</w:t>
      </w:r>
    </w:p>
    <w:p>
      <w:pPr>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一、收入支出决算总表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二、收入决算表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四、财政拨款收入支出决算总表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五、一般公共预算财政拨款支出决算表（一）</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六、一般公共预算财政拨款支出决算表（二）</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七、一般公共预算财政拨款“三公”经费支出决算表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八、政府性基金预算财政拨款收入支出决算表</w:t>
      </w:r>
    </w:p>
    <w:p>
      <w:pPr>
        <w:ind w:firstLine="63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九、部门决算公开相关信息统计表</w:t>
      </w:r>
    </w:p>
    <w:p>
      <w:pPr>
        <w:rPr>
          <w:rFonts w:ascii="黑体" w:hAnsi="黑体" w:eastAsia="黑体" w:cstheme="minorEastAsia"/>
          <w:sz w:val="32"/>
          <w:szCs w:val="32"/>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一、</w:t>
      </w:r>
      <w:r>
        <w:rPr>
          <w:rFonts w:hint="eastAsia" w:ascii="仿宋_GB2312" w:eastAsia="仿宋_GB2312" w:hAnsiTheme="minorEastAsia" w:cstheme="minorEastAsia"/>
          <w:kern w:val="2"/>
          <w:sz w:val="32"/>
          <w:szCs w:val="32"/>
          <w:lang w:val="en-US" w:eastAsia="zh-CN" w:bidi="ar-SA"/>
        </w:rPr>
        <w:t>收入决算情况说明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kern w:val="2"/>
          <w:sz w:val="32"/>
          <w:szCs w:val="32"/>
          <w:lang w:val="en-US" w:eastAsia="zh-CN" w:bidi="ar-SA"/>
        </w:rPr>
        <w:t>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三、</w:t>
      </w:r>
      <w:r>
        <w:rPr>
          <w:rFonts w:hint="eastAsia" w:ascii="仿宋_GB2312" w:eastAsia="仿宋_GB2312" w:hAnsiTheme="minorEastAsia" w:cstheme="minorEastAsia"/>
          <w:kern w:val="2"/>
          <w:sz w:val="32"/>
          <w:szCs w:val="32"/>
          <w:lang w:val="en-US" w:eastAsia="zh-CN" w:bidi="ar-SA"/>
        </w:rPr>
        <w:t>一般公共预算财政拨款支出决算表公开到功能分类项级科目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四、</w:t>
      </w:r>
      <w:r>
        <w:rPr>
          <w:rFonts w:hint="eastAsia" w:ascii="仿宋_GB2312" w:eastAsia="仿宋_GB2312" w:hAnsiTheme="minorEastAsia" w:cstheme="minorEastAsia"/>
          <w:kern w:val="2"/>
          <w:sz w:val="32"/>
          <w:szCs w:val="32"/>
          <w:lang w:val="en-US" w:eastAsia="zh-CN" w:bidi="ar-SA"/>
        </w:rPr>
        <w:t>一般公共预算财政拨款基本支出决算表公开到经济性质分类款级科目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五</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一般公共预算财政拨款“三公”经费支出决算情况说明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六</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政府采购支出情况说明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七、</w:t>
      </w:r>
      <w:r>
        <w:rPr>
          <w:rFonts w:hint="eastAsia" w:ascii="仿宋_GB2312" w:eastAsia="仿宋_GB2312" w:hAnsiTheme="minorEastAsia" w:cstheme="minorEastAsia"/>
          <w:kern w:val="2"/>
          <w:sz w:val="32"/>
          <w:szCs w:val="32"/>
          <w:lang w:val="en-US" w:eastAsia="zh-CN" w:bidi="ar-SA"/>
        </w:rPr>
        <w:t>机关运行经费执行情况说明</w:t>
      </w:r>
    </w:p>
    <w:p>
      <w:pPr>
        <w:pStyle w:val="4"/>
        <w:widowControl/>
        <w:spacing w:before="0" w:beforeAutospacing="0" w:after="0" w:afterAutospacing="0" w:line="30" w:lineRule="atLeast"/>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八</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国有资产占用情况说明</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lang w:eastAsia="zh-CN"/>
        </w:rPr>
        <w:t>九、重点绩效评价结果等预算绩效情况说明</w:t>
      </w:r>
    </w:p>
    <w:p>
      <w:pPr>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rPr>
          <w:rFonts w:asciiTheme="minorEastAsia" w:hAnsiTheme="minorEastAsia" w:cstheme="minorEastAsia"/>
          <w:sz w:val="32"/>
          <w:szCs w:val="32"/>
        </w:rPr>
      </w:pPr>
    </w:p>
    <w:p>
      <w:pPr>
        <w:ind w:firstLine="640" w:firstLineChars="200"/>
        <w:rPr>
          <w:rFonts w:ascii="黑体" w:hAnsi="黑体" w:eastAsia="黑体" w:cstheme="minorEastAsia"/>
          <w:sz w:val="32"/>
          <w:szCs w:val="32"/>
        </w:rPr>
      </w:pPr>
    </w:p>
    <w:p>
      <w:pPr>
        <w:ind w:firstLine="643" w:firstLineChars="200"/>
        <w:rPr>
          <w:rFonts w:hint="eastAsia" w:ascii="黑体" w:hAnsi="黑体" w:eastAsia="黑体" w:cstheme="minorEastAsia"/>
          <w:b/>
          <w:bCs/>
          <w:sz w:val="32"/>
          <w:szCs w:val="32"/>
        </w:rPr>
      </w:pPr>
    </w:p>
    <w:p>
      <w:pPr>
        <w:ind w:firstLine="643" w:firstLineChars="200"/>
        <w:rPr>
          <w:rFonts w:hint="eastAsia" w:ascii="黑体" w:hAnsi="黑体" w:eastAsia="黑体" w:cstheme="minorEastAsia"/>
          <w:b/>
          <w:bCs/>
          <w:sz w:val="32"/>
          <w:szCs w:val="32"/>
        </w:rPr>
      </w:pPr>
      <w:r>
        <w:rPr>
          <w:rFonts w:hint="eastAsia" w:ascii="黑体" w:hAnsi="黑体" w:eastAsia="黑体" w:cstheme="minorEastAsia"/>
          <w:b/>
          <w:bCs/>
          <w:sz w:val="32"/>
          <w:szCs w:val="32"/>
        </w:rPr>
        <w:t xml:space="preserve">第一部分  </w:t>
      </w:r>
      <w:r>
        <w:rPr>
          <w:rFonts w:hint="eastAsia" w:ascii="黑体" w:hAnsi="黑体" w:eastAsia="黑体" w:cs="黑体"/>
          <w:b/>
          <w:bCs/>
          <w:sz w:val="32"/>
          <w:szCs w:val="32"/>
          <w:lang w:eastAsia="zh-CN"/>
        </w:rPr>
        <w:t>襄垣</w:t>
      </w:r>
      <w:r>
        <w:rPr>
          <w:rFonts w:hint="eastAsia" w:ascii="黑体" w:hAnsi="黑体" w:eastAsia="黑体" w:cs="黑体"/>
          <w:b/>
          <w:bCs/>
          <w:sz w:val="32"/>
          <w:szCs w:val="32"/>
        </w:rPr>
        <w:t>县</w:t>
      </w:r>
      <w:r>
        <w:rPr>
          <w:rFonts w:hint="eastAsia" w:ascii="黑体" w:hAnsi="黑体" w:eastAsia="黑体" w:cs="黑体"/>
          <w:b/>
          <w:bCs/>
          <w:sz w:val="32"/>
          <w:szCs w:val="32"/>
          <w:lang w:val="en-US" w:eastAsia="zh-CN"/>
        </w:rPr>
        <w:t>旅游发展中心</w:t>
      </w:r>
      <w:r>
        <w:rPr>
          <w:rFonts w:hint="eastAsia" w:ascii="黑体" w:hAnsi="黑体" w:eastAsia="黑体" w:cstheme="minorEastAsia"/>
          <w:b/>
          <w:bCs/>
          <w:sz w:val="32"/>
          <w:szCs w:val="32"/>
        </w:rPr>
        <w:t>概况</w:t>
      </w:r>
    </w:p>
    <w:p>
      <w:pPr>
        <w:ind w:firstLine="643"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bCs w:val="0"/>
          <w:sz w:val="32"/>
          <w:szCs w:val="32"/>
        </w:rPr>
        <w:t>一、部门主要职能</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负责旅游规划的制定和实施监督，旅游资源开发的指导与协调，旅游市场宣传工作促销，旅游行业管理，旅游质量监督与管理，旅游计划、统计，旅游投诉受理等。</w:t>
      </w:r>
    </w:p>
    <w:p>
      <w:pPr>
        <w:ind w:firstLine="643" w:firstLineChars="200"/>
        <w:rPr>
          <w:rFonts w:ascii="楷体" w:hAnsi="楷体" w:eastAsia="楷体" w:cstheme="minorEastAsia"/>
          <w:b/>
          <w:bCs w:val="0"/>
          <w:sz w:val="32"/>
          <w:szCs w:val="32"/>
        </w:rPr>
      </w:pPr>
      <w:r>
        <w:rPr>
          <w:rFonts w:hint="eastAsia" w:ascii="楷体" w:hAnsi="楷体" w:eastAsia="楷体" w:cstheme="minorEastAsia"/>
          <w:b/>
          <w:bCs w:val="0"/>
          <w:sz w:val="32"/>
          <w:szCs w:val="32"/>
        </w:rPr>
        <w:t>二、部门基本情况</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rPr>
        <w:t>（一）</w:t>
      </w:r>
      <w:r>
        <w:rPr>
          <w:rFonts w:hint="eastAsia" w:ascii="仿宋_GB2312" w:eastAsia="仿宋_GB2312" w:hAnsiTheme="minorEastAsia" w:cstheme="minorEastAsia"/>
          <w:sz w:val="32"/>
          <w:szCs w:val="32"/>
          <w:lang w:eastAsia="zh-CN"/>
        </w:rPr>
        <w:t>机构设置情况</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襄垣县</w:t>
      </w:r>
      <w:r>
        <w:rPr>
          <w:rFonts w:hint="eastAsia" w:ascii="仿宋_GB2312" w:eastAsia="仿宋_GB2312" w:hAnsiTheme="minorEastAsia" w:cstheme="minorEastAsia"/>
          <w:sz w:val="32"/>
          <w:szCs w:val="32"/>
          <w:lang w:val="en-US" w:eastAsia="zh-CN"/>
        </w:rPr>
        <w:t>文物</w:t>
      </w:r>
      <w:bookmarkStart w:id="0" w:name="_GoBack"/>
      <w:bookmarkEnd w:id="0"/>
      <w:r>
        <w:rPr>
          <w:rFonts w:hint="eastAsia" w:ascii="仿宋_GB2312" w:eastAsia="仿宋_GB2312" w:hAnsiTheme="minorEastAsia" w:cstheme="minorEastAsia"/>
          <w:sz w:val="32"/>
          <w:szCs w:val="32"/>
        </w:rPr>
        <w:t>旅游发展中心隶属于襄垣县文化和旅游局，财政拨款全额事业单位，正科级建制，核定编制数为8人，内设四个科室：办公室、旅游安全科、旅游发展和管理科、财务科。</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（二）人员情况说明</w:t>
      </w:r>
    </w:p>
    <w:p>
      <w:pPr>
        <w:ind w:firstLine="640" w:firstLineChars="200"/>
        <w:rPr>
          <w:rFonts w:hint="eastAsia" w:ascii="仿宋_GB2312" w:eastAsia="仿宋_GB2312" w:hAnsiTheme="minorEastAsia" w:cstheme="minorEastAsia"/>
          <w:sz w:val="32"/>
          <w:szCs w:val="32"/>
          <w:lang w:val="en-US" w:eastAsia="zh-CN"/>
        </w:rPr>
      </w:pPr>
      <w:r>
        <w:rPr>
          <w:rFonts w:hint="eastAsia" w:ascii="仿宋_GB2312" w:eastAsia="仿宋_GB2312" w:hAnsiTheme="minorEastAsia" w:cstheme="minorEastAsia"/>
          <w:sz w:val="32"/>
          <w:szCs w:val="32"/>
          <w:lang w:val="en-US" w:eastAsia="zh-CN"/>
        </w:rPr>
        <w:t>现有事业编制8名，实有8名。</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lang w:val="en-US" w:eastAsia="zh-CN"/>
        </w:rPr>
        <w:t>（三）本套部门决算汇编范围的单位共1个，包括：襄垣县文物旅游发展中心。</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hint="eastAsia" w:ascii="黑体" w:hAnsi="黑体" w:eastAsia="黑体" w:cstheme="minorEastAsia"/>
          <w:color w:val="C00000"/>
          <w:sz w:val="32"/>
          <w:szCs w:val="32"/>
          <w:lang w:eastAsia="zh-CN"/>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年度部门决算情况说明</w:t>
      </w:r>
    </w:p>
    <w:p>
      <w:pPr>
        <w:ind w:firstLine="640" w:firstLineChars="200"/>
        <w:rPr>
          <w:rFonts w:hint="eastAsia" w:ascii="楷体" w:hAnsi="楷体" w:eastAsia="楷体" w:cstheme="minorEastAsia"/>
          <w:b w:val="0"/>
          <w:bCs/>
          <w:sz w:val="32"/>
          <w:szCs w:val="32"/>
        </w:rPr>
      </w:pPr>
      <w:r>
        <w:rPr>
          <w:rFonts w:hint="eastAsia" w:ascii="楷体" w:hAnsi="楷体" w:eastAsia="楷体" w:cstheme="minorEastAsia"/>
          <w:b w:val="0"/>
          <w:bCs/>
          <w:sz w:val="32"/>
          <w:szCs w:val="32"/>
        </w:rPr>
        <w:t>一、收入决算情况说明</w:t>
      </w:r>
    </w:p>
    <w:p>
      <w:pPr>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本部门201</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年度收入总计</w:t>
      </w:r>
      <w:r>
        <w:rPr>
          <w:rFonts w:hint="eastAsia" w:ascii="仿宋_GB2312" w:hAnsi="仿宋" w:eastAsia="仿宋_GB2312" w:cs="仿宋"/>
          <w:color w:val="auto"/>
          <w:sz w:val="32"/>
          <w:szCs w:val="32"/>
          <w:lang w:val="en-US" w:eastAsia="zh-CN"/>
        </w:rPr>
        <w:t>375.66</w:t>
      </w:r>
      <w:r>
        <w:rPr>
          <w:rFonts w:hint="eastAsia" w:ascii="仿宋_GB2312" w:hAnsi="仿宋" w:eastAsia="仿宋_GB2312" w:cs="仿宋"/>
          <w:color w:val="auto"/>
          <w:sz w:val="32"/>
          <w:szCs w:val="32"/>
        </w:rPr>
        <w:t>万元，其中年初结转和结余</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万元；本年收入合计</w:t>
      </w:r>
      <w:r>
        <w:rPr>
          <w:rFonts w:hint="eastAsia" w:ascii="仿宋_GB2312" w:hAnsi="仿宋" w:eastAsia="仿宋_GB2312" w:cs="仿宋"/>
          <w:color w:val="auto"/>
          <w:sz w:val="32"/>
          <w:szCs w:val="32"/>
          <w:lang w:val="en-US" w:eastAsia="zh-CN"/>
        </w:rPr>
        <w:t>370.66</w:t>
      </w:r>
      <w:r>
        <w:rPr>
          <w:rFonts w:hint="eastAsia" w:ascii="仿宋_GB2312" w:hAnsi="仿宋" w:eastAsia="仿宋_GB2312" w:cs="仿宋"/>
          <w:color w:val="auto"/>
          <w:sz w:val="32"/>
          <w:szCs w:val="32"/>
        </w:rPr>
        <w:t>万元，较201</w:t>
      </w: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增加50.15</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val="en-US" w:eastAsia="zh-CN"/>
        </w:rPr>
        <w:t>增加15.65</w:t>
      </w:r>
      <w:r>
        <w:rPr>
          <w:rFonts w:hint="eastAsia" w:ascii="仿宋_GB2312" w:hAnsi="仿宋" w:eastAsia="仿宋_GB2312" w:cs="仿宋"/>
          <w:color w:val="auto"/>
          <w:sz w:val="32"/>
          <w:szCs w:val="32"/>
        </w:rPr>
        <w:t>%，主要原因是：</w:t>
      </w:r>
      <w:r>
        <w:rPr>
          <w:rFonts w:hint="eastAsia" w:ascii="仿宋_GB2312" w:hAnsi="仿宋" w:eastAsia="仿宋_GB2312" w:cs="仿宋"/>
          <w:color w:val="auto"/>
          <w:sz w:val="32"/>
          <w:szCs w:val="32"/>
          <w:lang w:val="en-US" w:eastAsia="zh-CN"/>
        </w:rPr>
        <w:t>项目增加</w:t>
      </w:r>
      <w:r>
        <w:rPr>
          <w:rFonts w:hint="eastAsia" w:ascii="仿宋_GB2312" w:hAnsi="仿宋" w:eastAsia="仿宋_GB2312" w:cs="仿宋"/>
          <w:color w:val="auto"/>
          <w:sz w:val="32"/>
          <w:szCs w:val="32"/>
        </w:rPr>
        <w:t>。</w:t>
      </w:r>
    </w:p>
    <w:p>
      <w:pPr>
        <w:ind w:firstLine="640" w:firstLineChars="200"/>
        <w:rPr>
          <w:rFonts w:ascii="仿宋_GB2312" w:hAnsi="仿宋" w:eastAsia="仿宋_GB2312" w:cs="仿宋"/>
          <w:color w:val="5B9BD5" w:themeColor="accent1"/>
          <w:sz w:val="32"/>
          <w:szCs w:val="32"/>
          <w14:textFill>
            <w14:solidFill>
              <w14:schemeClr w14:val="accent1"/>
            </w14:solidFill>
          </w14:textFill>
        </w:rPr>
      </w:pPr>
      <w:r>
        <w:rPr>
          <w:rFonts w:hint="eastAsia" w:ascii="仿宋_GB2312" w:hAnsi="仿宋" w:eastAsia="仿宋_GB2312" w:cs="仿宋"/>
          <w:color w:val="auto"/>
          <w:sz w:val="32"/>
          <w:szCs w:val="32"/>
        </w:rPr>
        <w:t>本年收入的具体构成为：财政拨款收入351</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rPr>
        <w:t>43万元，占</w:t>
      </w:r>
      <w:r>
        <w:rPr>
          <w:rFonts w:hint="eastAsia" w:ascii="仿宋_GB2312" w:hAnsi="仿宋" w:eastAsia="仿宋_GB2312" w:cs="仿宋"/>
          <w:color w:val="auto"/>
          <w:sz w:val="32"/>
          <w:szCs w:val="32"/>
          <w:lang w:val="en-US" w:eastAsia="zh-CN"/>
        </w:rPr>
        <w:t>94.81</w:t>
      </w:r>
      <w:r>
        <w:rPr>
          <w:rFonts w:hint="eastAsia" w:ascii="仿宋_GB2312" w:hAnsi="仿宋" w:eastAsia="仿宋_GB2312" w:cs="仿宋"/>
          <w:color w:val="auto"/>
          <w:sz w:val="32"/>
          <w:szCs w:val="32"/>
        </w:rPr>
        <w:t>%；其他收入</w:t>
      </w:r>
      <w:r>
        <w:rPr>
          <w:rFonts w:hint="eastAsia" w:ascii="仿宋_GB2312" w:hAnsi="仿宋" w:eastAsia="仿宋_GB2312" w:cs="仿宋"/>
          <w:color w:val="auto"/>
          <w:sz w:val="32"/>
          <w:szCs w:val="32"/>
          <w:lang w:val="en-US" w:eastAsia="zh-CN"/>
        </w:rPr>
        <w:t>19.23</w:t>
      </w:r>
      <w:r>
        <w:rPr>
          <w:rFonts w:hint="eastAsia" w:ascii="仿宋_GB2312" w:hAnsi="仿宋" w:eastAsia="仿宋_GB2312" w:cs="仿宋"/>
          <w:color w:val="auto"/>
          <w:sz w:val="32"/>
          <w:szCs w:val="32"/>
        </w:rPr>
        <w:t>万元，占</w:t>
      </w:r>
      <w:r>
        <w:rPr>
          <w:rFonts w:hint="eastAsia" w:ascii="仿宋_GB2312" w:hAnsi="仿宋" w:eastAsia="仿宋_GB2312" w:cs="仿宋"/>
          <w:color w:val="auto"/>
          <w:sz w:val="32"/>
          <w:szCs w:val="32"/>
          <w:lang w:val="en-US" w:eastAsia="zh-CN"/>
        </w:rPr>
        <w:t>5.19</w:t>
      </w:r>
      <w:r>
        <w:rPr>
          <w:rFonts w:hint="eastAsia" w:ascii="仿宋_GB2312" w:hAnsi="仿宋" w:eastAsia="仿宋_GB2312" w:cs="仿宋"/>
          <w:color w:val="auto"/>
          <w:sz w:val="32"/>
          <w:szCs w:val="32"/>
        </w:rPr>
        <w:t xml:space="preserve">%。  </w:t>
      </w:r>
    </w:p>
    <w:p>
      <w:pPr>
        <w:ind w:firstLine="640" w:firstLineChars="200"/>
        <w:rPr>
          <w:rFonts w:ascii="楷体" w:hAnsi="楷体" w:eastAsia="楷体" w:cstheme="minorEastAsia"/>
          <w:b w:val="0"/>
          <w:bCs/>
          <w:sz w:val="32"/>
          <w:szCs w:val="32"/>
        </w:rPr>
      </w:pPr>
      <w:r>
        <w:rPr>
          <w:rFonts w:hint="eastAsia" w:ascii="楷体" w:hAnsi="楷体" w:eastAsia="楷体" w:cstheme="minorEastAsia"/>
          <w:b w:val="0"/>
          <w:bCs/>
          <w:sz w:val="32"/>
          <w:szCs w:val="32"/>
        </w:rPr>
        <w:t>二、支出决算情况说明</w:t>
      </w:r>
    </w:p>
    <w:p>
      <w:pPr>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本部门201</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年度支出总计375</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rPr>
        <w:t>6</w:t>
      </w:r>
      <w:r>
        <w:rPr>
          <w:rFonts w:hint="eastAsia" w:ascii="仿宋_GB2312" w:hAnsi="仿宋" w:eastAsia="仿宋_GB2312" w:cs="仿宋"/>
          <w:color w:val="auto"/>
          <w:sz w:val="32"/>
          <w:szCs w:val="32"/>
          <w:lang w:val="en-US" w:eastAsia="zh-CN"/>
        </w:rPr>
        <w:t>6</w:t>
      </w:r>
      <w:r>
        <w:rPr>
          <w:rFonts w:hint="eastAsia" w:ascii="仿宋_GB2312" w:hAnsi="仿宋" w:eastAsia="仿宋_GB2312" w:cs="仿宋"/>
          <w:color w:val="auto"/>
          <w:sz w:val="32"/>
          <w:szCs w:val="32"/>
        </w:rPr>
        <w:t>万元，其中本年支出合计</w:t>
      </w:r>
      <w:r>
        <w:rPr>
          <w:rFonts w:hint="eastAsia" w:ascii="仿宋_GB2312" w:hAnsi="仿宋" w:eastAsia="仿宋_GB2312" w:cs="仿宋"/>
          <w:color w:val="auto"/>
          <w:sz w:val="32"/>
          <w:szCs w:val="32"/>
          <w:lang w:val="en-US" w:eastAsia="zh-CN"/>
        </w:rPr>
        <w:t>366.65</w:t>
      </w:r>
      <w:r>
        <w:rPr>
          <w:rFonts w:hint="eastAsia" w:ascii="仿宋_GB2312" w:hAnsi="仿宋" w:eastAsia="仿宋_GB2312" w:cs="仿宋"/>
          <w:color w:val="auto"/>
          <w:sz w:val="32"/>
          <w:szCs w:val="32"/>
        </w:rPr>
        <w:t>万元，较201</w:t>
      </w: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增加51.14</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val="en-US" w:eastAsia="zh-CN"/>
        </w:rPr>
        <w:t>增加16.21</w:t>
      </w:r>
      <w:r>
        <w:rPr>
          <w:rFonts w:hint="eastAsia" w:ascii="仿宋_GB2312" w:hAnsi="仿宋" w:eastAsia="仿宋_GB2312" w:cs="仿宋"/>
          <w:color w:val="auto"/>
          <w:sz w:val="32"/>
          <w:szCs w:val="32"/>
        </w:rPr>
        <w:t>%，主要原因是：</w:t>
      </w:r>
      <w:r>
        <w:rPr>
          <w:rFonts w:hint="eastAsia" w:ascii="仿宋_GB2312" w:hAnsi="仿宋" w:eastAsia="仿宋_GB2312" w:cs="仿宋"/>
          <w:color w:val="auto"/>
          <w:sz w:val="32"/>
          <w:szCs w:val="32"/>
          <w:lang w:val="en-US" w:eastAsia="zh-CN"/>
        </w:rPr>
        <w:t>项目增加</w:t>
      </w:r>
      <w:r>
        <w:rPr>
          <w:rFonts w:hint="eastAsia" w:ascii="仿宋_GB2312" w:hAnsi="仿宋" w:eastAsia="仿宋_GB2312" w:cs="仿宋"/>
          <w:color w:val="auto"/>
          <w:sz w:val="32"/>
          <w:szCs w:val="32"/>
        </w:rPr>
        <w:t>，年末结转和结余</w:t>
      </w:r>
      <w:r>
        <w:rPr>
          <w:rFonts w:hint="eastAsia" w:ascii="仿宋_GB2312" w:hAnsi="仿宋" w:eastAsia="仿宋_GB2312" w:cs="仿宋"/>
          <w:color w:val="auto"/>
          <w:sz w:val="32"/>
          <w:szCs w:val="32"/>
          <w:lang w:val="en-US" w:eastAsia="zh-CN"/>
        </w:rPr>
        <w:t>9</w:t>
      </w:r>
      <w:r>
        <w:rPr>
          <w:rFonts w:hint="eastAsia" w:ascii="仿宋_GB2312" w:hAnsi="仿宋" w:eastAsia="仿宋_GB2312" w:cs="仿宋"/>
          <w:color w:val="auto"/>
          <w:sz w:val="32"/>
          <w:szCs w:val="32"/>
        </w:rPr>
        <w:t>元，较201</w:t>
      </w: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增加4</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val="en-US" w:eastAsia="zh-CN"/>
        </w:rPr>
        <w:t>增加80</w:t>
      </w:r>
      <w:r>
        <w:rPr>
          <w:rFonts w:hint="eastAsia" w:ascii="仿宋_GB2312" w:hAnsi="仿宋" w:eastAsia="仿宋_GB2312" w:cs="仿宋"/>
          <w:color w:val="auto"/>
          <w:sz w:val="32"/>
          <w:szCs w:val="32"/>
        </w:rPr>
        <w:t>%，主要原因是：</w:t>
      </w:r>
      <w:r>
        <w:rPr>
          <w:rFonts w:hint="eastAsia" w:ascii="仿宋_GB2312" w:hAnsi="仿宋" w:eastAsia="仿宋_GB2312" w:cs="仿宋"/>
          <w:color w:val="auto"/>
          <w:sz w:val="32"/>
          <w:szCs w:val="32"/>
          <w:lang w:val="en-US" w:eastAsia="zh-CN"/>
        </w:rPr>
        <w:t>项目增加</w:t>
      </w:r>
      <w:r>
        <w:rPr>
          <w:rFonts w:hint="eastAsia" w:ascii="仿宋_GB2312" w:hAnsi="仿宋" w:eastAsia="仿宋_GB2312" w:cs="仿宋"/>
          <w:color w:val="auto"/>
          <w:sz w:val="32"/>
          <w:szCs w:val="32"/>
        </w:rPr>
        <w:t>。</w:t>
      </w:r>
    </w:p>
    <w:p>
      <w:pPr>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本年支出的具体构成为：基本支出79</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rPr>
        <w:t>82万元，占</w:t>
      </w:r>
      <w:r>
        <w:rPr>
          <w:rFonts w:hint="eastAsia" w:ascii="仿宋_GB2312" w:hAnsi="仿宋" w:eastAsia="仿宋_GB2312" w:cs="仿宋"/>
          <w:color w:val="auto"/>
          <w:sz w:val="32"/>
          <w:szCs w:val="32"/>
          <w:lang w:val="en-US" w:eastAsia="zh-CN"/>
        </w:rPr>
        <w:t>21.77</w:t>
      </w:r>
      <w:r>
        <w:rPr>
          <w:rFonts w:hint="eastAsia" w:ascii="仿宋_GB2312" w:hAnsi="仿宋" w:eastAsia="仿宋_GB2312" w:cs="仿宋"/>
          <w:color w:val="auto"/>
          <w:sz w:val="32"/>
          <w:szCs w:val="32"/>
        </w:rPr>
        <w:t>%；项目支出286</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rPr>
        <w:t>8</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万元，占</w:t>
      </w:r>
      <w:r>
        <w:rPr>
          <w:rFonts w:hint="eastAsia" w:ascii="仿宋_GB2312" w:hAnsi="仿宋" w:eastAsia="仿宋_GB2312" w:cs="仿宋"/>
          <w:color w:val="auto"/>
          <w:sz w:val="32"/>
          <w:szCs w:val="32"/>
          <w:lang w:val="en-US" w:eastAsia="zh-CN"/>
        </w:rPr>
        <w:t>78.23</w:t>
      </w:r>
      <w:r>
        <w:rPr>
          <w:rFonts w:hint="eastAsia" w:ascii="仿宋_GB2312" w:hAnsi="仿宋" w:eastAsia="仿宋_GB2312" w:cs="仿宋"/>
          <w:color w:val="auto"/>
          <w:sz w:val="32"/>
          <w:szCs w:val="32"/>
        </w:rPr>
        <w:t>%；经营支出</w:t>
      </w:r>
      <w:r>
        <w:rPr>
          <w:rFonts w:hint="eastAsia" w:ascii="仿宋_GB2312" w:hAnsi="仿宋" w:eastAsia="仿宋_GB2312" w:cs="仿宋"/>
          <w:color w:val="auto"/>
          <w:sz w:val="32"/>
          <w:szCs w:val="32"/>
          <w:lang w:val="en-US" w:eastAsia="zh-CN"/>
        </w:rPr>
        <w:t>0</w:t>
      </w:r>
      <w:r>
        <w:rPr>
          <w:rFonts w:hint="eastAsia" w:ascii="仿宋_GB2312" w:hAnsi="仿宋" w:eastAsia="仿宋_GB2312" w:cs="仿宋"/>
          <w:color w:val="auto"/>
          <w:sz w:val="32"/>
          <w:szCs w:val="32"/>
        </w:rPr>
        <w:t>万元，占0%；其他支出（对附属单位补助支出、上缴上级支出）0万元，占0%。</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三、</w:t>
      </w:r>
      <w:r>
        <w:rPr>
          <w:rFonts w:hint="eastAsia" w:ascii="楷体" w:hAnsi="楷体" w:eastAsia="楷体" w:cstheme="minorEastAsia"/>
          <w:b w:val="0"/>
          <w:bCs/>
          <w:sz w:val="32"/>
          <w:szCs w:val="32"/>
          <w:lang w:eastAsia="zh-CN"/>
        </w:rPr>
        <w:t>一般公共预算财政拨款支出决算表公开到功能分类项级科目（</w:t>
      </w:r>
      <w:r>
        <w:rPr>
          <w:rFonts w:hint="eastAsia" w:ascii="楷体" w:hAnsi="楷体" w:eastAsia="楷体" w:cstheme="minorEastAsia"/>
          <w:b w:val="0"/>
          <w:bCs/>
          <w:sz w:val="32"/>
          <w:szCs w:val="32"/>
          <w:lang w:val="en-US" w:eastAsia="zh-CN"/>
        </w:rPr>
        <w:t>05表）</w:t>
      </w:r>
    </w:p>
    <w:p>
      <w:pPr>
        <w:ind w:firstLine="640" w:firstLineChars="200"/>
        <w:rPr>
          <w:rFonts w:hint="default" w:ascii="仿宋_GB2312" w:eastAsia="仿宋_GB2312" w:hAnsiTheme="minorEastAsia" w:cstheme="minorEastAsia"/>
          <w:color w:val="5B9BD5" w:themeColor="accent1"/>
          <w:sz w:val="32"/>
          <w:szCs w:val="32"/>
          <w:lang w:val="en-US" w:eastAsia="zh-CN"/>
          <w14:textFill>
            <w14:solidFill>
              <w14:schemeClr w14:val="accent1"/>
            </w14:solidFill>
          </w14:textFill>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年度财政拨款本年支出年初预算数为</w:t>
      </w:r>
      <w:r>
        <w:rPr>
          <w:rFonts w:hint="eastAsia" w:ascii="仿宋_GB2312" w:eastAsia="仿宋_GB2312" w:hAnsiTheme="minorEastAsia" w:cstheme="minorEastAsia"/>
          <w:color w:val="5B9BD5" w:themeColor="accent1"/>
          <w:sz w:val="32"/>
          <w:szCs w:val="32"/>
          <w14:textFill>
            <w14:solidFill>
              <w14:schemeClr w14:val="accent1"/>
            </w14:solidFill>
          </w14:textFill>
        </w:rPr>
        <w:t xml:space="preserve">   </w:t>
      </w:r>
      <w:r>
        <w:rPr>
          <w:rFonts w:hint="eastAsia" w:ascii="仿宋_GB2312" w:eastAsia="仿宋_GB2312" w:hAnsiTheme="minorEastAsia" w:cstheme="minorEastAsia"/>
          <w:color w:val="auto"/>
          <w:sz w:val="32"/>
          <w:szCs w:val="32"/>
          <w:lang w:val="en-US" w:eastAsia="zh-CN"/>
        </w:rPr>
        <w:t>345.65</w:t>
      </w:r>
      <w:r>
        <w:rPr>
          <w:rFonts w:hint="eastAsia" w:ascii="仿宋_GB2312" w:eastAsia="仿宋_GB2312" w:hAnsiTheme="minorEastAsia" w:cstheme="minorEastAsia"/>
          <w:color w:val="auto"/>
          <w:sz w:val="32"/>
          <w:szCs w:val="32"/>
        </w:rPr>
        <w:t>万元，决算数为</w:t>
      </w:r>
      <w:r>
        <w:rPr>
          <w:rFonts w:hint="eastAsia" w:ascii="仿宋_GB2312" w:eastAsia="仿宋_GB2312" w:hAnsiTheme="minorEastAsia" w:cstheme="minorEastAsia"/>
          <w:color w:val="auto"/>
          <w:sz w:val="32"/>
          <w:szCs w:val="32"/>
          <w:lang w:val="en-US" w:eastAsia="zh-CN"/>
        </w:rPr>
        <w:t>343.03</w:t>
      </w:r>
      <w:r>
        <w:rPr>
          <w:rFonts w:hint="eastAsia" w:ascii="仿宋_GB2312" w:eastAsia="仿宋_GB2312" w:hAnsiTheme="minorEastAsia" w:cstheme="minorEastAsia"/>
          <w:color w:val="auto"/>
          <w:sz w:val="32"/>
          <w:szCs w:val="32"/>
        </w:rPr>
        <w:t>万元，完成年初预算的</w:t>
      </w:r>
      <w:r>
        <w:rPr>
          <w:rFonts w:hint="eastAsia" w:ascii="仿宋_GB2312" w:eastAsia="仿宋_GB2312" w:hAnsiTheme="minorEastAsia" w:cstheme="minorEastAsia"/>
          <w:color w:val="auto"/>
          <w:sz w:val="32"/>
          <w:szCs w:val="32"/>
          <w:lang w:val="en-US" w:eastAsia="zh-CN"/>
        </w:rPr>
        <w:t>99.24</w:t>
      </w:r>
      <w:r>
        <w:rPr>
          <w:rFonts w:hint="eastAsia" w:ascii="仿宋_GB2312" w:eastAsia="仿宋_GB2312" w:hAnsiTheme="minorEastAsia" w:cstheme="minorEastAsia"/>
          <w:color w:val="auto"/>
          <w:sz w:val="32"/>
          <w:szCs w:val="32"/>
        </w:rPr>
        <w:t>%。其中：一般公共服务支出年初预算数为</w:t>
      </w:r>
      <w:r>
        <w:rPr>
          <w:rFonts w:hint="eastAsia" w:ascii="仿宋_GB2312" w:eastAsia="仿宋_GB2312" w:hAnsiTheme="minorEastAsia" w:cstheme="minorEastAsia"/>
          <w:color w:val="auto"/>
          <w:sz w:val="32"/>
          <w:szCs w:val="32"/>
          <w:lang w:val="en-US" w:eastAsia="zh-CN"/>
        </w:rPr>
        <w:t>345.65</w:t>
      </w:r>
      <w:r>
        <w:rPr>
          <w:rFonts w:hint="eastAsia" w:ascii="仿宋_GB2312" w:eastAsia="仿宋_GB2312" w:hAnsiTheme="minorEastAsia" w:cstheme="minorEastAsia"/>
          <w:color w:val="auto"/>
          <w:sz w:val="32"/>
          <w:szCs w:val="32"/>
        </w:rPr>
        <w:t>万元，决算数为</w:t>
      </w:r>
      <w:r>
        <w:rPr>
          <w:rFonts w:hint="eastAsia" w:ascii="仿宋_GB2312" w:eastAsia="仿宋_GB2312" w:hAnsiTheme="minorEastAsia" w:cstheme="minorEastAsia"/>
          <w:color w:val="auto"/>
          <w:sz w:val="32"/>
          <w:szCs w:val="32"/>
          <w:lang w:val="en-US" w:eastAsia="zh-CN"/>
        </w:rPr>
        <w:t>343.03</w:t>
      </w:r>
      <w:r>
        <w:rPr>
          <w:rFonts w:hint="eastAsia" w:ascii="仿宋_GB2312" w:eastAsia="仿宋_GB2312" w:hAnsiTheme="minorEastAsia" w:cstheme="minorEastAsia"/>
          <w:color w:val="auto"/>
          <w:sz w:val="32"/>
          <w:szCs w:val="32"/>
        </w:rPr>
        <w:t>万元，完成年初预算的</w:t>
      </w:r>
      <w:r>
        <w:rPr>
          <w:rFonts w:hint="eastAsia" w:ascii="仿宋_GB2312" w:eastAsia="仿宋_GB2312" w:hAnsiTheme="minorEastAsia" w:cstheme="minorEastAsia"/>
          <w:color w:val="auto"/>
          <w:sz w:val="32"/>
          <w:szCs w:val="32"/>
          <w:lang w:val="en-US" w:eastAsia="zh-CN"/>
        </w:rPr>
        <w:t>99.24</w:t>
      </w:r>
      <w:r>
        <w:rPr>
          <w:rFonts w:hint="eastAsia" w:ascii="仿宋_GB2312" w:eastAsia="仿宋_GB2312" w:hAnsiTheme="minorEastAsia" w:cstheme="minorEastAsia"/>
          <w:color w:val="auto"/>
          <w:sz w:val="32"/>
          <w:szCs w:val="32"/>
        </w:rPr>
        <w:t>%，主要原因是：</w:t>
      </w:r>
      <w:r>
        <w:rPr>
          <w:rFonts w:hint="eastAsia" w:ascii="仿宋_GB2312" w:eastAsia="仿宋_GB2312" w:hAnsiTheme="minorEastAsia" w:cstheme="minorEastAsia"/>
          <w:color w:val="auto"/>
          <w:sz w:val="32"/>
          <w:szCs w:val="32"/>
          <w:lang w:val="en-US" w:eastAsia="zh-CN"/>
        </w:rPr>
        <w:t>项目支出减少</w:t>
      </w:r>
      <w:r>
        <w:rPr>
          <w:rFonts w:hint="eastAsia" w:ascii="仿宋_GB2312" w:eastAsia="仿宋_GB2312" w:hAnsiTheme="minorEastAsia" w:cstheme="minorEastAsia"/>
          <w:color w:val="auto"/>
          <w:sz w:val="32"/>
          <w:szCs w:val="32"/>
          <w:lang w:eastAsia="zh-CN"/>
        </w:rPr>
        <w:t>；教育支出决算数</w:t>
      </w:r>
      <w:r>
        <w:rPr>
          <w:rFonts w:hint="eastAsia" w:ascii="仿宋_GB2312" w:eastAsia="仿宋_GB2312" w:hAnsiTheme="minorEastAsia" w:cstheme="minorEastAsia"/>
          <w:color w:val="auto"/>
          <w:sz w:val="32"/>
          <w:szCs w:val="32"/>
          <w:lang w:val="en-US" w:eastAsia="zh-CN"/>
        </w:rPr>
        <w:t>0万元</w:t>
      </w:r>
      <w:r>
        <w:rPr>
          <w:rFonts w:hint="eastAsia" w:ascii="仿宋_GB2312" w:eastAsia="仿宋_GB2312" w:hAnsiTheme="minorEastAsia" w:cstheme="minorEastAsia"/>
          <w:color w:val="auto"/>
          <w:sz w:val="32"/>
          <w:szCs w:val="32"/>
          <w:lang w:eastAsia="zh-CN"/>
        </w:rPr>
        <w:t>；社会保障和就业支出决算数</w:t>
      </w:r>
      <w:r>
        <w:rPr>
          <w:rFonts w:hint="eastAsia" w:ascii="仿宋_GB2312" w:eastAsia="仿宋_GB2312" w:hAnsiTheme="minorEastAsia" w:cstheme="minorEastAsia"/>
          <w:color w:val="auto"/>
          <w:sz w:val="32"/>
          <w:szCs w:val="32"/>
          <w:lang w:val="en-US" w:eastAsia="zh-CN"/>
        </w:rPr>
        <w:t>0万元。</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四、一般公共预算财政拨款基本支出决算</w:t>
      </w:r>
      <w:r>
        <w:rPr>
          <w:rFonts w:hint="eastAsia" w:ascii="楷体" w:hAnsi="楷体" w:eastAsia="楷体" w:cstheme="minorEastAsia"/>
          <w:b w:val="0"/>
          <w:bCs/>
          <w:sz w:val="32"/>
          <w:szCs w:val="32"/>
          <w:lang w:eastAsia="zh-CN"/>
        </w:rPr>
        <w:t>表公开到经济性质分类款级科目（</w:t>
      </w:r>
      <w:r>
        <w:rPr>
          <w:rFonts w:hint="eastAsia" w:ascii="楷体" w:hAnsi="楷体" w:eastAsia="楷体" w:cstheme="minorEastAsia"/>
          <w:b w:val="0"/>
          <w:bCs/>
          <w:sz w:val="32"/>
          <w:szCs w:val="32"/>
          <w:lang w:val="en-US" w:eastAsia="zh-CN"/>
        </w:rPr>
        <w:t>06表）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年度一般公共预算财政拨款基本支出66</w:t>
      </w:r>
      <w:r>
        <w:rPr>
          <w:rFonts w:hint="eastAsia" w:ascii="仿宋_GB2312" w:eastAsia="仿宋_GB2312" w:hAnsiTheme="minorEastAsia" w:cstheme="minorEastAsia"/>
          <w:sz w:val="32"/>
          <w:szCs w:val="32"/>
          <w:lang w:val="en-US" w:eastAsia="zh-CN"/>
        </w:rPr>
        <w:t>.</w:t>
      </w:r>
      <w:r>
        <w:rPr>
          <w:rFonts w:hint="eastAsia" w:ascii="仿宋_GB2312" w:eastAsia="仿宋_GB2312" w:hAnsiTheme="minorEastAsia" w:cstheme="minorEastAsia"/>
          <w:sz w:val="32"/>
          <w:szCs w:val="32"/>
        </w:rPr>
        <w:t>51万元</w:t>
      </w:r>
      <w:r>
        <w:rPr>
          <w:rFonts w:hint="eastAsia" w:ascii="仿宋_GB2312" w:eastAsia="仿宋_GB2312" w:hAnsiTheme="minorEastAsia" w:cstheme="minorEastAsia"/>
          <w:sz w:val="32"/>
          <w:szCs w:val="32"/>
        </w:rPr>
        <w:t>，其中：</w:t>
      </w:r>
    </w:p>
    <w:p>
      <w:pPr>
        <w:ind w:firstLine="640" w:firstLineChars="200"/>
        <w:rPr>
          <w:rFonts w:hint="eastAsia"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sz w:val="32"/>
          <w:szCs w:val="32"/>
        </w:rPr>
        <w:t>（一）</w:t>
      </w:r>
      <w:r>
        <w:rPr>
          <w:rFonts w:hint="eastAsia" w:ascii="仿宋_GB2312" w:eastAsia="仿宋_GB2312" w:hAnsiTheme="minorEastAsia" w:cstheme="minorEastAsia"/>
          <w:color w:val="auto"/>
          <w:sz w:val="32"/>
          <w:szCs w:val="32"/>
          <w:lang w:val="en-US" w:eastAsia="zh-CN"/>
        </w:rPr>
        <w:t>工资福利支出66.44万元，较2017年减少4.2万元，减少5.95%，主要原因是：正式人员工资和临时工工资。</w:t>
      </w:r>
    </w:p>
    <w:p>
      <w:pPr>
        <w:ind w:firstLine="640" w:firstLineChars="200"/>
        <w:rPr>
          <w:rFonts w:hint="eastAsia"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lang w:val="en-US" w:eastAsia="zh-CN"/>
        </w:rPr>
        <w:t>（二）商品和服务支出9.09万元，较2017年减少19.4万元，下降68.09%。</w:t>
      </w:r>
    </w:p>
    <w:p>
      <w:pPr>
        <w:ind w:firstLine="640" w:firstLineChars="200"/>
        <w:rPr>
          <w:rFonts w:hint="eastAsia"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lang w:val="en-US" w:eastAsia="zh-CN"/>
        </w:rPr>
        <w:t>（三）对个人和家庭补助支出0.075万元，较2017年减少0.045万元，下降37.5%，主要原因是：家庭补助减少。</w:t>
      </w:r>
    </w:p>
    <w:p>
      <w:pPr>
        <w:ind w:firstLine="640" w:firstLineChars="200"/>
        <w:rPr>
          <w:rFonts w:hint="eastAsia"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lang w:val="en-US" w:eastAsia="zh-CN"/>
        </w:rPr>
        <w:t>（四）资本性支出0万元，较2017年增加（减少）0万元。</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五、一般公共预算财政拨款“三公”经费支出决算情况说明</w:t>
      </w:r>
    </w:p>
    <w:p>
      <w:pPr>
        <w:numPr>
          <w:ilvl w:val="0"/>
          <w:numId w:val="0"/>
        </w:numPr>
        <w:ind w:firstLine="640" w:firstLineChars="200"/>
        <w:rPr>
          <w:rFonts w:hint="eastAsia" w:ascii="仿宋_GB2312" w:hAnsi="仿宋" w:eastAsia="仿宋_GB2312" w:cstheme="minorEastAsia"/>
          <w:color w:val="auto"/>
          <w:sz w:val="32"/>
          <w:szCs w:val="32"/>
        </w:rPr>
      </w:pPr>
      <w:r>
        <w:rPr>
          <w:rFonts w:hint="eastAsia" w:ascii="仿宋_GB2312" w:hAnsi="仿宋" w:eastAsia="仿宋_GB2312" w:cstheme="minorEastAsia"/>
          <w:color w:val="auto"/>
          <w:sz w:val="32"/>
          <w:szCs w:val="32"/>
        </w:rPr>
        <w:t>本部门201</w:t>
      </w:r>
      <w:r>
        <w:rPr>
          <w:rFonts w:hint="eastAsia" w:ascii="仿宋_GB2312" w:hAnsi="仿宋" w:eastAsia="仿宋_GB2312" w:cstheme="minorEastAsia"/>
          <w:color w:val="auto"/>
          <w:sz w:val="32"/>
          <w:szCs w:val="32"/>
          <w:lang w:val="en-US" w:eastAsia="zh-CN"/>
        </w:rPr>
        <w:t>8</w:t>
      </w:r>
      <w:r>
        <w:rPr>
          <w:rFonts w:hint="eastAsia" w:ascii="仿宋_GB2312" w:hAnsi="仿宋" w:eastAsia="仿宋_GB2312" w:cstheme="minorEastAsia"/>
          <w:color w:val="auto"/>
          <w:sz w:val="32"/>
          <w:szCs w:val="32"/>
        </w:rPr>
        <w:t>年度一般公共预算财政拨款“三公”经费支出年初预算数为</w:t>
      </w:r>
      <w:r>
        <w:rPr>
          <w:rFonts w:hint="eastAsia" w:ascii="仿宋_GB2312" w:hAnsi="仿宋" w:eastAsia="仿宋_GB2312" w:cstheme="minorEastAsia"/>
          <w:color w:val="auto"/>
          <w:sz w:val="32"/>
          <w:szCs w:val="32"/>
          <w:lang w:val="en-US" w:eastAsia="zh-CN"/>
        </w:rPr>
        <w:t>0</w:t>
      </w:r>
      <w:r>
        <w:rPr>
          <w:rFonts w:hint="eastAsia" w:ascii="仿宋_GB2312" w:hAnsi="仿宋" w:eastAsia="仿宋_GB2312" w:cstheme="minorEastAsia"/>
          <w:color w:val="auto"/>
          <w:sz w:val="32"/>
          <w:szCs w:val="32"/>
        </w:rPr>
        <w:t>万元，决算数为</w:t>
      </w:r>
      <w:r>
        <w:rPr>
          <w:rFonts w:hint="eastAsia" w:ascii="仿宋_GB2312" w:hAnsi="仿宋" w:eastAsia="仿宋_GB2312" w:cstheme="minorEastAsia"/>
          <w:color w:val="auto"/>
          <w:sz w:val="32"/>
          <w:szCs w:val="32"/>
          <w:lang w:val="en-US" w:eastAsia="zh-CN"/>
        </w:rPr>
        <w:t>0</w:t>
      </w:r>
      <w:r>
        <w:rPr>
          <w:rFonts w:hint="eastAsia" w:ascii="仿宋_GB2312" w:hAnsi="仿宋" w:eastAsia="仿宋_GB2312" w:cstheme="minorEastAsia"/>
          <w:color w:val="auto"/>
          <w:sz w:val="32"/>
          <w:szCs w:val="32"/>
        </w:rPr>
        <w:t>万元，完成预算的</w:t>
      </w:r>
      <w:r>
        <w:rPr>
          <w:rFonts w:hint="eastAsia" w:ascii="仿宋_GB2312" w:hAnsi="仿宋" w:eastAsia="仿宋_GB2312" w:cstheme="minorEastAsia"/>
          <w:color w:val="auto"/>
          <w:sz w:val="32"/>
          <w:szCs w:val="32"/>
          <w:lang w:val="en-US" w:eastAsia="zh-CN"/>
        </w:rPr>
        <w:t>0</w:t>
      </w:r>
      <w:r>
        <w:rPr>
          <w:rFonts w:hint="eastAsia" w:ascii="仿宋_GB2312" w:hAnsi="仿宋" w:eastAsia="仿宋_GB2312" w:cstheme="minorEastAsia"/>
          <w:color w:val="auto"/>
          <w:sz w:val="32"/>
          <w:szCs w:val="32"/>
        </w:rPr>
        <w:t>%，决算数较201</w:t>
      </w:r>
      <w:r>
        <w:rPr>
          <w:rFonts w:hint="eastAsia" w:ascii="仿宋_GB2312" w:hAnsi="仿宋" w:eastAsia="仿宋_GB2312" w:cstheme="minorEastAsia"/>
          <w:color w:val="auto"/>
          <w:sz w:val="32"/>
          <w:szCs w:val="32"/>
          <w:lang w:val="en-US" w:eastAsia="zh-CN"/>
        </w:rPr>
        <w:t>7</w:t>
      </w:r>
      <w:r>
        <w:rPr>
          <w:rFonts w:hint="eastAsia" w:ascii="仿宋_GB2312" w:hAnsi="仿宋" w:eastAsia="仿宋_GB2312" w:cstheme="minorEastAsia"/>
          <w:color w:val="auto"/>
          <w:sz w:val="32"/>
          <w:szCs w:val="32"/>
        </w:rPr>
        <w:t>年减少</w:t>
      </w:r>
      <w:r>
        <w:rPr>
          <w:rFonts w:hint="eastAsia" w:ascii="仿宋_GB2312" w:hAnsi="仿宋" w:eastAsia="仿宋_GB2312" w:cstheme="minorEastAsia"/>
          <w:color w:val="auto"/>
          <w:sz w:val="32"/>
          <w:szCs w:val="32"/>
          <w:lang w:val="en-US" w:eastAsia="zh-CN"/>
        </w:rPr>
        <w:t>0</w:t>
      </w:r>
      <w:r>
        <w:rPr>
          <w:rFonts w:hint="eastAsia" w:ascii="仿宋_GB2312" w:hAnsi="仿宋" w:eastAsia="仿宋_GB2312" w:cstheme="minorEastAsia"/>
          <w:color w:val="auto"/>
          <w:sz w:val="32"/>
          <w:szCs w:val="32"/>
        </w:rPr>
        <w:t>万元，下降</w:t>
      </w:r>
      <w:r>
        <w:rPr>
          <w:rFonts w:hint="eastAsia" w:ascii="仿宋_GB2312" w:hAnsi="仿宋" w:eastAsia="仿宋_GB2312" w:cstheme="minorEastAsia"/>
          <w:color w:val="auto"/>
          <w:sz w:val="32"/>
          <w:szCs w:val="32"/>
          <w:lang w:val="en-US" w:eastAsia="zh-CN"/>
        </w:rPr>
        <w:t>0</w:t>
      </w:r>
      <w:r>
        <w:rPr>
          <w:rFonts w:hint="eastAsia" w:ascii="仿宋_GB2312" w:hAnsi="仿宋" w:eastAsia="仿宋_GB2312" w:cstheme="minorEastAsia"/>
          <w:color w:val="auto"/>
          <w:sz w:val="32"/>
          <w:szCs w:val="32"/>
        </w:rPr>
        <w:t>%，其中：</w:t>
      </w:r>
    </w:p>
    <w:p>
      <w:pPr>
        <w:numPr>
          <w:ilvl w:val="0"/>
          <w:numId w:val="1"/>
        </w:num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因公出国（境）支出年初预算数为0万元，决算数为0万元，完成预算的0%，</w:t>
      </w:r>
      <w:r>
        <w:rPr>
          <w:rFonts w:hint="eastAsia" w:ascii="仿宋_GB2312" w:eastAsia="仿宋_GB2312" w:hAnsiTheme="minorEastAsia" w:cstheme="minorEastAsia"/>
          <w:sz w:val="32"/>
          <w:szCs w:val="32"/>
          <w:lang w:eastAsia="zh-CN"/>
        </w:rPr>
        <w:t>因公出国（境）团组数为</w:t>
      </w:r>
      <w:r>
        <w:rPr>
          <w:rFonts w:hint="eastAsia" w:ascii="仿宋_GB2312" w:eastAsia="仿宋_GB2312" w:hAnsiTheme="minorEastAsia" w:cstheme="minorEastAsia"/>
          <w:sz w:val="32"/>
          <w:szCs w:val="32"/>
          <w:lang w:val="en-US" w:eastAsia="zh-CN"/>
        </w:rPr>
        <w:t>0，人数为0。</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年增加（减少）0万元，增长（下降）0%。</w:t>
      </w:r>
    </w:p>
    <w:p>
      <w:pPr>
        <w:rPr>
          <w:rFonts w:hint="default" w:ascii="仿宋_GB2312" w:eastAsia="仿宋_GB2312" w:hAnsiTheme="minorEastAsia" w:cstheme="minorEastAsia"/>
          <w:sz w:val="32"/>
          <w:szCs w:val="32"/>
          <w:lang w:val="en-US" w:eastAsia="zh-CN"/>
        </w:rPr>
      </w:pPr>
      <w:r>
        <w:rPr>
          <w:rFonts w:hint="eastAsia" w:ascii="仿宋_GB2312" w:eastAsia="仿宋_GB2312" w:hAnsiTheme="minorEastAsia" w:cstheme="minorEastAsia"/>
          <w:sz w:val="32"/>
          <w:szCs w:val="32"/>
        </w:rPr>
        <w:t>　　（二）公务接待费支出年初预算数为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万元，决算数为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万元，完成预算的</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年增加（减少）</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万元，增长（下降）0%</w:t>
      </w:r>
      <w:r>
        <w:rPr>
          <w:rFonts w:hint="eastAsia" w:ascii="仿宋_GB2312" w:eastAsia="仿宋_GB2312" w:hAnsiTheme="minorEastAsia" w:cstheme="minorEastAsia"/>
          <w:sz w:val="32"/>
          <w:szCs w:val="32"/>
          <w:lang w:val="en-US" w:eastAsia="zh-CN"/>
        </w:rPr>
        <w:t>。</w:t>
      </w:r>
    </w:p>
    <w:p>
      <w:pPr>
        <w:ind w:firstLine="640" w:firstLineChars="200"/>
        <w:rPr>
          <w:rFonts w:hint="default" w:ascii="仿宋_GB2312" w:eastAsia="仿宋_GB2312" w:hAnsiTheme="minorEastAsia" w:cstheme="minorEastAsia"/>
          <w:sz w:val="32"/>
          <w:szCs w:val="32"/>
          <w:lang w:val="en-US" w:eastAsia="zh-CN"/>
        </w:rPr>
      </w:pPr>
      <w:r>
        <w:rPr>
          <w:rFonts w:hint="eastAsia" w:ascii="仿宋_GB2312" w:eastAsia="仿宋_GB2312" w:hAnsiTheme="minorEastAsia" w:cstheme="minorEastAsia"/>
          <w:sz w:val="32"/>
          <w:szCs w:val="32"/>
        </w:rPr>
        <w:t>（三）公务用车购置及运行维护费支出0万元，其中公务用车购置年初预算数为0万元，决算数为0万元，完成预算的0%，决算数较201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年增加（减少）0万元，增长（下降）0%；公务用车运行维护费支出年初预算数为0万元，决算数为0万元，完成预算的0%，决算数较201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年增加（减少）0万元，增长（下降）0%。</w:t>
      </w:r>
      <w:r>
        <w:rPr>
          <w:rFonts w:hint="eastAsia" w:ascii="仿宋_GB2312" w:eastAsia="仿宋_GB2312" w:hAnsiTheme="minorEastAsia" w:cstheme="minorEastAsia"/>
          <w:sz w:val="32"/>
          <w:szCs w:val="32"/>
          <w:lang w:eastAsia="zh-CN"/>
        </w:rPr>
        <w:t>本年度公务用车购置数</w:t>
      </w:r>
      <w:r>
        <w:rPr>
          <w:rFonts w:hint="eastAsia" w:ascii="仿宋_GB2312" w:eastAsia="仿宋_GB2312" w:hAnsiTheme="minorEastAsia" w:cstheme="minorEastAsia"/>
          <w:sz w:val="32"/>
          <w:szCs w:val="32"/>
          <w:lang w:val="en-US" w:eastAsia="zh-CN"/>
        </w:rPr>
        <w:t>0，公务用车保有量0。</w:t>
      </w:r>
    </w:p>
    <w:p>
      <w:pPr>
        <w:ind w:firstLine="640" w:firstLineChars="200"/>
        <w:rPr>
          <w:rFonts w:hint="eastAsia" w:ascii="楷体" w:hAnsi="楷体" w:eastAsia="楷体" w:cstheme="minorEastAsia"/>
          <w:b w:val="0"/>
          <w:bCs/>
          <w:sz w:val="32"/>
          <w:szCs w:val="32"/>
        </w:rPr>
      </w:pPr>
      <w:r>
        <w:rPr>
          <w:rFonts w:hint="eastAsia" w:ascii="楷体" w:hAnsi="楷体" w:eastAsia="楷体" w:cstheme="minorEastAsia"/>
          <w:b w:val="0"/>
          <w:bCs/>
          <w:sz w:val="32"/>
          <w:szCs w:val="32"/>
        </w:rPr>
        <w:t>六、政府采购支出情况说明</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年度政府采购支</w:t>
      </w:r>
      <w:r>
        <w:rPr>
          <w:rFonts w:hint="eastAsia" w:ascii="仿宋_GB2312" w:eastAsia="仿宋_GB2312" w:hAnsiTheme="minorEastAsia" w:cstheme="minorEastAsia"/>
          <w:sz w:val="32"/>
          <w:szCs w:val="32"/>
          <w:lang w:eastAsia="zh-CN"/>
        </w:rPr>
        <w:t>出总额0万元，其中：政府采购货物支出0万元、政府采购工程支出0万元、政府采购服务支出0万元。授予中小企业合同金额0万元，占政府采购支出总额的0%。</w:t>
      </w:r>
    </w:p>
    <w:p>
      <w:pPr>
        <w:numPr>
          <w:ilvl w:val="0"/>
          <w:numId w:val="2"/>
        </w:numPr>
        <w:ind w:firstLine="640" w:firstLineChars="200"/>
        <w:rPr>
          <w:rFonts w:hint="eastAsia" w:ascii="楷体" w:hAnsi="楷体" w:eastAsia="楷体" w:cstheme="minorEastAsia"/>
          <w:b w:val="0"/>
          <w:bCs/>
          <w:sz w:val="32"/>
          <w:szCs w:val="32"/>
        </w:rPr>
      </w:pPr>
      <w:r>
        <w:rPr>
          <w:rFonts w:hint="eastAsia" w:ascii="楷体" w:hAnsi="楷体" w:eastAsia="楷体" w:cstheme="minorEastAsia"/>
          <w:b w:val="0"/>
          <w:bCs/>
          <w:sz w:val="32"/>
          <w:szCs w:val="32"/>
        </w:rPr>
        <w:t>机关运行经费</w:t>
      </w:r>
      <w:r>
        <w:rPr>
          <w:rFonts w:hint="eastAsia" w:ascii="楷体" w:hAnsi="楷体" w:eastAsia="楷体" w:cstheme="minorEastAsia"/>
          <w:b w:val="0"/>
          <w:bCs/>
          <w:sz w:val="32"/>
          <w:szCs w:val="32"/>
          <w:lang w:eastAsia="zh-CN"/>
        </w:rPr>
        <w:t>执行</w:t>
      </w:r>
      <w:r>
        <w:rPr>
          <w:rFonts w:hint="eastAsia" w:ascii="楷体" w:hAnsi="楷体" w:eastAsia="楷体" w:cstheme="minorEastAsia"/>
          <w:b w:val="0"/>
          <w:bCs/>
          <w:sz w:val="32"/>
          <w:szCs w:val="32"/>
        </w:rPr>
        <w:t>情况说明</w:t>
      </w:r>
    </w:p>
    <w:p>
      <w:pPr>
        <w:numPr>
          <w:ilvl w:val="0"/>
          <w:numId w:val="0"/>
        </w:numPr>
        <w:ind w:firstLine="640" w:firstLineChars="200"/>
        <w:rPr>
          <w:rFonts w:ascii="仿宋_GB2312" w:hAnsi="仿宋" w:eastAsia="仿宋_GB2312" w:cstheme="minorEastAsia"/>
          <w:color w:val="5B9BD5" w:themeColor="accent1"/>
          <w:sz w:val="32"/>
          <w:szCs w:val="32"/>
          <w14:textFill>
            <w14:solidFill>
              <w14:schemeClr w14:val="accent1"/>
            </w14:solidFill>
          </w14:textFill>
        </w:rPr>
      </w:pPr>
      <w:r>
        <w:rPr>
          <w:rFonts w:hint="eastAsia" w:ascii="仿宋_GB2312" w:hAnsi="仿宋" w:eastAsia="仿宋_GB2312" w:cstheme="minorEastAsia"/>
          <w:color w:val="auto"/>
          <w:sz w:val="32"/>
          <w:szCs w:val="32"/>
        </w:rPr>
        <w:t>本部门201</w:t>
      </w:r>
      <w:r>
        <w:rPr>
          <w:rFonts w:hint="eastAsia" w:ascii="仿宋_GB2312" w:hAnsi="仿宋" w:eastAsia="仿宋_GB2312" w:cstheme="minorEastAsia"/>
          <w:color w:val="auto"/>
          <w:sz w:val="32"/>
          <w:szCs w:val="32"/>
          <w:lang w:val="en-US" w:eastAsia="zh-CN"/>
        </w:rPr>
        <w:t>8</w:t>
      </w:r>
      <w:r>
        <w:rPr>
          <w:rFonts w:hint="eastAsia" w:ascii="仿宋_GB2312" w:hAnsi="仿宋" w:eastAsia="仿宋_GB2312" w:cstheme="minorEastAsia"/>
          <w:color w:val="auto"/>
          <w:sz w:val="32"/>
          <w:szCs w:val="32"/>
        </w:rPr>
        <w:t>年度机关运行经费支出</w:t>
      </w:r>
      <w:r>
        <w:rPr>
          <w:rFonts w:hint="eastAsia" w:ascii="仿宋_GB2312" w:hAnsi="仿宋" w:eastAsia="仿宋_GB2312" w:cstheme="minorEastAsia"/>
          <w:color w:val="auto"/>
          <w:sz w:val="32"/>
          <w:szCs w:val="32"/>
          <w:lang w:val="en-US" w:eastAsia="zh-CN"/>
        </w:rPr>
        <w:t>5</w:t>
      </w:r>
      <w:r>
        <w:rPr>
          <w:rFonts w:hint="eastAsia" w:ascii="仿宋_GB2312" w:hAnsi="仿宋" w:eastAsia="仿宋_GB2312" w:cstheme="minorEastAsia"/>
          <w:color w:val="auto"/>
          <w:sz w:val="32"/>
          <w:szCs w:val="32"/>
        </w:rPr>
        <w:t>万元，较201</w:t>
      </w:r>
      <w:r>
        <w:rPr>
          <w:rFonts w:hint="eastAsia" w:ascii="仿宋_GB2312" w:hAnsi="仿宋" w:eastAsia="仿宋_GB2312" w:cstheme="minorEastAsia"/>
          <w:color w:val="auto"/>
          <w:sz w:val="32"/>
          <w:szCs w:val="32"/>
          <w:lang w:val="en-US" w:eastAsia="zh-CN"/>
        </w:rPr>
        <w:t>8</w:t>
      </w:r>
      <w:r>
        <w:rPr>
          <w:rFonts w:hint="eastAsia" w:ascii="仿宋_GB2312" w:hAnsi="仿宋" w:eastAsia="仿宋_GB2312" w:cstheme="minorEastAsia"/>
          <w:color w:val="auto"/>
          <w:sz w:val="32"/>
          <w:szCs w:val="32"/>
        </w:rPr>
        <w:t>年增加（减少）0万元，增长（下降）0%。</w:t>
      </w:r>
      <w:r>
        <w:rPr>
          <w:rFonts w:hint="eastAsia" w:ascii="仿宋_GB2312" w:hAnsi="仿宋" w:eastAsia="仿宋_GB2312" w:cstheme="minorEastAsia"/>
          <w:color w:val="5B9BD5" w:themeColor="accent1"/>
          <w:sz w:val="32"/>
          <w:szCs w:val="32"/>
          <w14:textFill>
            <w14:solidFill>
              <w14:schemeClr w14:val="accent1"/>
            </w14:solidFill>
          </w14:textFill>
        </w:rPr>
        <w:t xml:space="preserve"> </w:t>
      </w:r>
    </w:p>
    <w:p>
      <w:pPr>
        <w:ind w:firstLine="640" w:firstLineChars="200"/>
        <w:rPr>
          <w:rFonts w:hint="default" w:ascii="楷体" w:hAnsi="楷体" w:eastAsia="楷体" w:cstheme="minorEastAsia"/>
          <w:b/>
          <w:color w:val="FF0000"/>
          <w:sz w:val="32"/>
          <w:szCs w:val="32"/>
          <w:lang w:val="en-US" w:eastAsia="zh-CN"/>
        </w:rPr>
      </w:pPr>
      <w:r>
        <w:rPr>
          <w:rStyle w:val="7"/>
          <w:rFonts w:hint="eastAsia" w:ascii="楷体" w:hAnsi="楷体" w:eastAsia="楷体" w:cs="宋体"/>
          <w:b w:val="0"/>
          <w:bCs/>
          <w:color w:val="333333"/>
          <w:sz w:val="32"/>
          <w:szCs w:val="32"/>
        </w:rPr>
        <w:t>八、国有资产占用情况说明</w:t>
      </w:r>
    </w:p>
    <w:p>
      <w:pPr>
        <w:pStyle w:val="4"/>
        <w:widowControl/>
        <w:spacing w:before="0" w:beforeAutospacing="0" w:after="0" w:afterAutospacing="0" w:line="30" w:lineRule="atLeast"/>
        <w:ind w:firstLine="640"/>
        <w:rPr>
          <w:rFonts w:hint="eastAsia" w:ascii="仿宋_GB2312" w:hAnsi="仿宋" w:eastAsia="仿宋_GB2312" w:cstheme="minorEastAsia"/>
          <w:color w:val="auto"/>
          <w:kern w:val="2"/>
          <w:sz w:val="32"/>
          <w:szCs w:val="32"/>
          <w:lang w:val="en-US" w:eastAsia="zh-CN" w:bidi="ar-SA"/>
        </w:rPr>
      </w:pPr>
      <w:r>
        <w:rPr>
          <w:rFonts w:hint="eastAsia" w:ascii="仿宋_GB2312" w:hAnsi="仿宋" w:eastAsia="仿宋_GB2312" w:cstheme="minorEastAsia"/>
          <w:color w:val="auto"/>
          <w:kern w:val="2"/>
          <w:sz w:val="32"/>
          <w:szCs w:val="32"/>
          <w:lang w:val="en-US" w:eastAsia="zh-CN" w:bidi="ar-SA"/>
        </w:rPr>
        <w:t>本部门共有车辆数合计1辆。单价50万元以上通用设备0台/套，共计0元；单价100万元以上专用设备0台/套，0元。</w:t>
      </w:r>
    </w:p>
    <w:p>
      <w:pPr>
        <w:ind w:firstLine="640" w:firstLineChars="200"/>
        <w:rPr>
          <w:rStyle w:val="7"/>
          <w:rFonts w:hint="eastAsia" w:ascii="楷体" w:hAnsi="楷体" w:eastAsia="楷体" w:cs="宋体"/>
          <w:b w:val="0"/>
          <w:bCs/>
          <w:color w:val="333333"/>
          <w:kern w:val="0"/>
          <w:sz w:val="32"/>
          <w:szCs w:val="32"/>
          <w:lang w:val="en-US" w:eastAsia="zh-CN" w:bidi="ar-SA"/>
        </w:rPr>
      </w:pPr>
      <w:r>
        <w:rPr>
          <w:rStyle w:val="7"/>
          <w:rFonts w:hint="eastAsia" w:ascii="楷体" w:hAnsi="楷体" w:eastAsia="楷体" w:cs="宋体"/>
          <w:b w:val="0"/>
          <w:bCs/>
          <w:color w:val="333333"/>
          <w:kern w:val="0"/>
          <w:sz w:val="32"/>
          <w:szCs w:val="32"/>
          <w:lang w:val="en-US" w:eastAsia="zh-CN" w:bidi="ar-SA"/>
        </w:rPr>
        <w:t>九、重点绩效评价结果等预算绩效情况说明</w:t>
      </w:r>
    </w:p>
    <w:p>
      <w:pPr>
        <w:pStyle w:val="4"/>
        <w:widowControl/>
        <w:spacing w:before="0" w:beforeAutospacing="0" w:after="0" w:afterAutospacing="0" w:line="30" w:lineRule="atLeast"/>
        <w:ind w:firstLine="640"/>
        <w:rPr>
          <w:rFonts w:hint="eastAsia" w:ascii="仿宋_GB2312" w:hAnsi="仿宋" w:eastAsia="仿宋_GB2312" w:cstheme="minorEastAsia"/>
          <w:color w:val="auto"/>
          <w:kern w:val="2"/>
          <w:sz w:val="32"/>
          <w:szCs w:val="32"/>
          <w:lang w:val="en-US" w:eastAsia="zh-CN" w:bidi="ar-SA"/>
        </w:rPr>
      </w:pPr>
      <w:r>
        <w:rPr>
          <w:rFonts w:hint="eastAsia" w:ascii="仿宋_GB2312" w:hAnsi="仿宋" w:eastAsia="仿宋_GB2312" w:cstheme="minorEastAsia"/>
          <w:color w:val="auto"/>
          <w:kern w:val="2"/>
          <w:sz w:val="32"/>
          <w:szCs w:val="32"/>
          <w:lang w:val="en-US" w:eastAsia="zh-CN" w:bidi="ar-SA"/>
        </w:rPr>
        <w:t>本部门本年度不涉及预算绩效项目。</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十二、项目支出：指在基本支出之外为完成特定的行政任务或事业发展目标所发生的支出。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十三、上缴上级支出：指事业单位按照财政部门和主管部门的规定上缴上级单位的支出。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十四、经营支出：指事业单位在专业业务活动及其辅助活动之外开展非独立核算经营活动发生的支出。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abstractNum w:abstractNumId="1">
    <w:nsid w:val="2B2CC79B"/>
    <w:multiLevelType w:val="singleLevel"/>
    <w:tmpl w:val="2B2CC79B"/>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13E4C"/>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DA336E"/>
    <w:rsid w:val="05E42E29"/>
    <w:rsid w:val="08DF5D60"/>
    <w:rsid w:val="0C5A5250"/>
    <w:rsid w:val="0C64513E"/>
    <w:rsid w:val="0DE649EC"/>
    <w:rsid w:val="0EE25EB1"/>
    <w:rsid w:val="10CB3E8D"/>
    <w:rsid w:val="1B4A6025"/>
    <w:rsid w:val="1E107510"/>
    <w:rsid w:val="209E0EC3"/>
    <w:rsid w:val="22140CC1"/>
    <w:rsid w:val="2A937DAC"/>
    <w:rsid w:val="2DB60033"/>
    <w:rsid w:val="2F754CA8"/>
    <w:rsid w:val="3111464D"/>
    <w:rsid w:val="341824CB"/>
    <w:rsid w:val="343F3937"/>
    <w:rsid w:val="348C1B35"/>
    <w:rsid w:val="34D53928"/>
    <w:rsid w:val="37015ED3"/>
    <w:rsid w:val="3F5C42DA"/>
    <w:rsid w:val="43E475B8"/>
    <w:rsid w:val="458B37F5"/>
    <w:rsid w:val="48832669"/>
    <w:rsid w:val="48E87EB6"/>
    <w:rsid w:val="4A4F3891"/>
    <w:rsid w:val="4D9B3CEE"/>
    <w:rsid w:val="52567629"/>
    <w:rsid w:val="582B68F4"/>
    <w:rsid w:val="5D083F24"/>
    <w:rsid w:val="60860A87"/>
    <w:rsid w:val="60B46440"/>
    <w:rsid w:val="627B0199"/>
    <w:rsid w:val="635C762A"/>
    <w:rsid w:val="71FC58C7"/>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Words>
  <Characters>3306</Characters>
  <Lines>27</Lines>
  <Paragraphs>7</Paragraphs>
  <TotalTime>15</TotalTime>
  <ScaleCrop>false</ScaleCrop>
  <LinksUpToDate>false</LinksUpToDate>
  <CharactersWithSpaces>3878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admin</cp:lastModifiedBy>
  <cp:lastPrinted>2019-09-11T06:01:00Z</cp:lastPrinted>
  <dcterms:modified xsi:type="dcterms:W3CDTF">2021-05-27T08:03:38Z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