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24"/>
        </w:rPr>
      </w:pPr>
      <w:r>
        <w:rPr>
          <w:rFonts w:hint="eastAsia" w:ascii="Times New Roman" w:hAnsi="Times New Roman" w:eastAsia="黑体"/>
          <w:b w:val="0"/>
          <w:i w:val="0"/>
          <w:caps w:val="0"/>
          <w:spacing w:val="0"/>
          <w:w w:val="100"/>
          <w:sz w:val="24"/>
        </w:rPr>
        <w:t>附件1：</w:t>
      </w:r>
      <w:r>
        <w:rPr>
          <w:rFonts w:ascii="Times New Roman" w:hAnsi="Times New Roman" w:eastAsia="黑体"/>
          <w:b w:val="0"/>
          <w:i w:val="0"/>
          <w:caps w:val="0"/>
          <w:spacing w:val="0"/>
          <w:w w:val="100"/>
          <w:sz w:val="24"/>
        </w:rPr>
        <w:t xml:space="preserve"> </w:t>
      </w: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52"/>
          <w:szCs w:val="52"/>
        </w:rPr>
      </w:pPr>
    </w:p>
    <w:p>
      <w:pPr>
        <w:snapToGrid/>
        <w:spacing w:before="0" w:beforeAutospacing="0" w:after="0" w:afterAutospacing="0" w:line="240" w:lineRule="auto"/>
        <w:jc w:val="center"/>
        <w:textAlignment w:val="baseline"/>
        <w:rPr>
          <w:rFonts w:hint="default" w:ascii="Times New Roman" w:hAnsi="Times New Roman" w:eastAsia="黑体"/>
          <w:b w:val="0"/>
          <w:i w:val="0"/>
          <w:caps w:val="0"/>
          <w:spacing w:val="0"/>
          <w:w w:val="100"/>
          <w:sz w:val="52"/>
          <w:szCs w:val="52"/>
          <w:lang w:val="en-US"/>
        </w:rPr>
      </w:pPr>
      <w:r>
        <w:rPr>
          <w:rFonts w:hint="eastAsia" w:ascii="Times New Roman" w:hAnsi="Times New Roman" w:eastAsia="黑体"/>
          <w:b w:val="0"/>
          <w:i w:val="0"/>
          <w:caps w:val="0"/>
          <w:spacing w:val="0"/>
          <w:w w:val="100"/>
          <w:sz w:val="52"/>
          <w:szCs w:val="52"/>
          <w:lang w:eastAsia="zh-CN"/>
        </w:rPr>
        <w:t>襄垣</w:t>
      </w:r>
      <w:r>
        <w:rPr>
          <w:rFonts w:hint="eastAsia" w:ascii="Times New Roman" w:hAnsi="Times New Roman" w:eastAsia="黑体"/>
          <w:b w:val="0"/>
          <w:i w:val="0"/>
          <w:caps w:val="0"/>
          <w:spacing w:val="0"/>
          <w:w w:val="100"/>
          <w:sz w:val="52"/>
          <w:szCs w:val="52"/>
        </w:rPr>
        <w:t>县</w:t>
      </w:r>
      <w:r>
        <w:rPr>
          <w:rFonts w:hint="eastAsia" w:ascii="Times New Roman" w:hAnsi="Times New Roman" w:eastAsia="黑体" w:cs="Arial"/>
          <w:b w:val="0"/>
          <w:i w:val="0"/>
          <w:caps w:val="0"/>
          <w:spacing w:val="0"/>
          <w:w w:val="100"/>
          <w:sz w:val="52"/>
          <w:szCs w:val="52"/>
          <w:lang w:val="en-US" w:eastAsia="zh-CN"/>
        </w:rPr>
        <w:t>新闻中心</w:t>
      </w:r>
    </w:p>
    <w:p>
      <w:pPr>
        <w:snapToGrid/>
        <w:spacing w:before="0" w:beforeAutospacing="0" w:after="0" w:afterAutospacing="0" w:line="240" w:lineRule="auto"/>
        <w:ind w:firstLine="1040" w:firstLineChars="200"/>
        <w:jc w:val="both"/>
        <w:textAlignment w:val="baseline"/>
        <w:rPr>
          <w:rFonts w:ascii="Times New Roman" w:hAnsi="Times New Roman" w:eastAsia="黑体"/>
          <w:b w:val="0"/>
          <w:i w:val="0"/>
          <w:caps w:val="0"/>
          <w:spacing w:val="0"/>
          <w:w w:val="100"/>
          <w:sz w:val="52"/>
          <w:szCs w:val="52"/>
        </w:rPr>
      </w:pPr>
      <w:r>
        <w:rPr>
          <w:rFonts w:hint="eastAsia" w:ascii="Times New Roman" w:hAnsi="Times New Roman" w:eastAsia="黑体"/>
          <w:b w:val="0"/>
          <w:i w:val="0"/>
          <w:caps w:val="0"/>
          <w:spacing w:val="0"/>
          <w:w w:val="100"/>
          <w:sz w:val="52"/>
          <w:szCs w:val="52"/>
        </w:rPr>
        <w:t>201</w:t>
      </w:r>
      <w:r>
        <w:rPr>
          <w:rFonts w:hint="eastAsia" w:ascii="Times New Roman" w:hAnsi="Times New Roman" w:eastAsia="黑体"/>
          <w:b w:val="0"/>
          <w:i w:val="0"/>
          <w:caps w:val="0"/>
          <w:spacing w:val="0"/>
          <w:w w:val="100"/>
          <w:sz w:val="52"/>
          <w:szCs w:val="52"/>
          <w:lang w:val="en-US" w:eastAsia="zh-CN"/>
        </w:rPr>
        <w:t>8</w:t>
      </w:r>
      <w:r>
        <w:rPr>
          <w:rFonts w:hint="eastAsia" w:ascii="Times New Roman" w:hAnsi="Times New Roman" w:eastAsia="黑体"/>
          <w:b w:val="0"/>
          <w:i w:val="0"/>
          <w:caps w:val="0"/>
          <w:spacing w:val="0"/>
          <w:w w:val="100"/>
          <w:sz w:val="52"/>
          <w:szCs w:val="52"/>
        </w:rPr>
        <w:t>年度部门决算公开说明</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2880" w:firstLineChars="900"/>
        <w:jc w:val="both"/>
        <w:textAlignment w:val="baseline"/>
        <w:rPr>
          <w:rFonts w:ascii="Times New Roman" w:hAnsi="Times New Roman" w:eastAsia="黑体"/>
          <w:b w:val="0"/>
          <w:i w:val="0"/>
          <w:caps w:val="0"/>
          <w:spacing w:val="0"/>
          <w:w w:val="100"/>
          <w:sz w:val="32"/>
          <w:szCs w:val="32"/>
        </w:r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sectPr>
          <w:pgSz w:w="11906" w:h="16838"/>
          <w:pgMar w:top="1440" w:right="1800" w:bottom="1440" w:left="1800" w:header="851" w:footer="992" w:gutter="0"/>
          <w:cols w:space="425" w:num="1"/>
          <w:docGrid w:type="lines" w:linePitch="312" w:charSpace="0"/>
        </w:sectPr>
      </w:pPr>
    </w:p>
    <w:p>
      <w:pPr>
        <w:snapToGrid/>
        <w:spacing w:before="0" w:beforeAutospacing="0" w:after="0" w:afterAutospacing="0" w:line="240" w:lineRule="auto"/>
        <w:ind w:firstLine="640" w:firstLineChars="200"/>
        <w:jc w:val="center"/>
        <w:textAlignment w:val="baseline"/>
        <w:rPr>
          <w:rFonts w:ascii="Times New Roman" w:hAnsi="Times New Roman"/>
          <w:b w:val="0"/>
          <w:i w:val="0"/>
          <w:caps w:val="0"/>
          <w:spacing w:val="0"/>
          <w:w w:val="100"/>
          <w:sz w:val="32"/>
          <w:szCs w:val="32"/>
        </w:rPr>
      </w:pPr>
    </w:p>
    <w:p>
      <w:pPr>
        <w:snapToGrid/>
        <w:spacing w:before="156" w:beforeAutospacing="0" w:after="312" w:afterAutospacing="0" w:line="240" w:lineRule="auto"/>
        <w:ind w:firstLine="880" w:firstLineChars="200"/>
        <w:jc w:val="center"/>
        <w:textAlignment w:val="baseline"/>
        <w:rPr>
          <w:rFonts w:ascii="Times New Roman" w:hAnsi="Times New Roman" w:eastAsia="黑体"/>
          <w:b w:val="0"/>
          <w:i w:val="0"/>
          <w:caps w:val="0"/>
          <w:spacing w:val="0"/>
          <w:w w:val="100"/>
          <w:sz w:val="44"/>
          <w:szCs w:val="44"/>
        </w:rPr>
      </w:pPr>
      <w:r>
        <w:rPr>
          <w:rFonts w:hint="eastAsia" w:ascii="Times New Roman" w:hAnsi="Times New Roman" w:eastAsia="黑体"/>
          <w:b w:val="0"/>
          <w:i w:val="0"/>
          <w:caps w:val="0"/>
          <w:spacing w:val="0"/>
          <w:w w:val="100"/>
          <w:sz w:val="44"/>
          <w:szCs w:val="44"/>
        </w:rPr>
        <w:t>目 录</w:t>
      </w:r>
    </w:p>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第一部分  部门概况</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一、部门主要职责</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lang w:eastAsia="zh-CN"/>
        </w:rPr>
      </w:pPr>
      <w:r>
        <w:rPr>
          <w:rFonts w:hint="eastAsia" w:ascii="Times New Roman" w:hAnsi="Times New Roman" w:eastAsia="仿宋_GB2312"/>
          <w:b w:val="0"/>
          <w:i w:val="0"/>
          <w:caps w:val="0"/>
          <w:spacing w:val="0"/>
          <w:w w:val="100"/>
          <w:sz w:val="32"/>
          <w:szCs w:val="32"/>
        </w:rPr>
        <w:t>二、部门</w:t>
      </w:r>
      <w:r>
        <w:rPr>
          <w:rFonts w:hint="eastAsia" w:ascii="Times New Roman" w:hAnsi="Times New Roman" w:eastAsia="仿宋_GB2312"/>
          <w:b w:val="0"/>
          <w:i w:val="0"/>
          <w:caps w:val="0"/>
          <w:spacing w:val="0"/>
          <w:w w:val="100"/>
          <w:sz w:val="32"/>
          <w:szCs w:val="32"/>
          <w:lang w:eastAsia="zh-CN"/>
        </w:rPr>
        <w:t>基本情况</w:t>
      </w:r>
    </w:p>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第二部分  201</w:t>
      </w:r>
      <w:r>
        <w:rPr>
          <w:rFonts w:hint="eastAsia" w:ascii="Times New Roman" w:hAnsi="Times New Roman" w:eastAsia="黑体"/>
          <w:b w:val="0"/>
          <w:i w:val="0"/>
          <w:caps w:val="0"/>
          <w:spacing w:val="0"/>
          <w:w w:val="100"/>
          <w:sz w:val="32"/>
          <w:szCs w:val="32"/>
          <w:lang w:val="en-US" w:eastAsia="zh-CN"/>
        </w:rPr>
        <w:t>8</w:t>
      </w:r>
      <w:r>
        <w:rPr>
          <w:rFonts w:hint="eastAsia" w:ascii="Times New Roman" w:hAnsi="Times New Roman" w:eastAsia="黑体"/>
          <w:b w:val="0"/>
          <w:i w:val="0"/>
          <w:caps w:val="0"/>
          <w:spacing w:val="0"/>
          <w:w w:val="100"/>
          <w:sz w:val="32"/>
          <w:szCs w:val="32"/>
        </w:rPr>
        <w:t>年度部门决算</w:t>
      </w:r>
      <w:r>
        <w:rPr>
          <w:rFonts w:hint="eastAsia" w:ascii="Times New Roman" w:hAnsi="Times New Roman" w:eastAsia="黑体"/>
          <w:b w:val="0"/>
          <w:i w:val="0"/>
          <w:caps w:val="0"/>
          <w:spacing w:val="0"/>
          <w:w w:val="100"/>
          <w:sz w:val="32"/>
          <w:szCs w:val="32"/>
          <w:lang w:eastAsia="zh-CN"/>
        </w:rPr>
        <w:t>公开</w:t>
      </w:r>
      <w:r>
        <w:rPr>
          <w:rFonts w:hint="eastAsia" w:ascii="Times New Roman" w:hAnsi="Times New Roman" w:eastAsia="黑体"/>
          <w:b w:val="0"/>
          <w:i w:val="0"/>
          <w:caps w:val="0"/>
          <w:spacing w:val="0"/>
          <w:w w:val="100"/>
          <w:sz w:val="32"/>
          <w:szCs w:val="32"/>
        </w:rPr>
        <w:t>表</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一、收入支出决算总表</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二、收入决算表</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三、支出决算表</w:t>
      </w:r>
    </w:p>
    <w:p>
      <w:pPr>
        <w:snapToGrid/>
        <w:spacing w:before="0" w:beforeAutospacing="0" w:after="0" w:afterAutospacing="0" w:line="240" w:lineRule="auto"/>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    四、财政拨款收入支出决算总表</w:t>
      </w:r>
    </w:p>
    <w:p>
      <w:pPr>
        <w:snapToGrid/>
        <w:spacing w:before="0" w:beforeAutospacing="0" w:after="0" w:afterAutospacing="0" w:line="240" w:lineRule="auto"/>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    五、一般公共预算财政拨款支出决算表（一）</w:t>
      </w:r>
    </w:p>
    <w:p>
      <w:pPr>
        <w:snapToGrid/>
        <w:spacing w:before="0" w:beforeAutospacing="0" w:after="0" w:afterAutospacing="0" w:line="240" w:lineRule="auto"/>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    六、一般公共预算财政拨款支出决算表（二）</w:t>
      </w:r>
    </w:p>
    <w:p>
      <w:pPr>
        <w:snapToGrid/>
        <w:spacing w:before="0" w:beforeAutospacing="0" w:after="0" w:afterAutospacing="0" w:line="240" w:lineRule="auto"/>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    七、一般公共预算财政拨款“三公”经费支出决算表</w:t>
      </w:r>
    </w:p>
    <w:p>
      <w:pPr>
        <w:snapToGrid/>
        <w:spacing w:before="0" w:beforeAutospacing="0" w:after="0" w:afterAutospacing="0" w:line="240" w:lineRule="auto"/>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    八、政府性基金预算财政拨款收入支出决算表</w:t>
      </w:r>
    </w:p>
    <w:p>
      <w:pPr>
        <w:snapToGrid/>
        <w:spacing w:before="0" w:beforeAutospacing="0" w:after="0" w:afterAutospacing="0" w:line="240" w:lineRule="auto"/>
        <w:ind w:firstLine="63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九、部门决算公开相关信息统计表</w:t>
      </w:r>
    </w:p>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第三部分  201</w:t>
      </w:r>
      <w:r>
        <w:rPr>
          <w:rFonts w:hint="eastAsia" w:ascii="Times New Roman" w:hAnsi="Times New Roman" w:eastAsia="黑体"/>
          <w:b w:val="0"/>
          <w:i w:val="0"/>
          <w:caps w:val="0"/>
          <w:spacing w:val="0"/>
          <w:w w:val="100"/>
          <w:sz w:val="32"/>
          <w:szCs w:val="32"/>
          <w:lang w:val="en-US" w:eastAsia="zh-CN"/>
        </w:rPr>
        <w:t>8</w:t>
      </w:r>
      <w:r>
        <w:rPr>
          <w:rFonts w:hint="eastAsia" w:ascii="Times New Roman" w:hAnsi="Times New Roman" w:eastAsia="黑体"/>
          <w:b w:val="0"/>
          <w:i w:val="0"/>
          <w:caps w:val="0"/>
          <w:spacing w:val="0"/>
          <w:w w:val="100"/>
          <w:sz w:val="32"/>
          <w:szCs w:val="32"/>
        </w:rPr>
        <w:t>年度部门决算情况说明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rPr>
        <w:t>一、</w:t>
      </w:r>
      <w:r>
        <w:rPr>
          <w:rFonts w:hint="eastAsia" w:ascii="Times New Roman" w:hAnsi="Times New Roman" w:eastAsia="仿宋_GB2312"/>
          <w:b w:val="0"/>
          <w:i w:val="0"/>
          <w:caps w:val="0"/>
          <w:spacing w:val="0"/>
          <w:w w:val="100"/>
          <w:kern w:val="2"/>
          <w:sz w:val="32"/>
          <w:szCs w:val="32"/>
          <w:lang w:val="en-US" w:eastAsia="zh-CN" w:bidi="ar-SA"/>
        </w:rPr>
        <w:t>收入决算情况说明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rPr>
        <w:t>二、</w:t>
      </w:r>
      <w:r>
        <w:rPr>
          <w:rFonts w:hint="eastAsia" w:ascii="Times New Roman" w:hAnsi="Times New Roman" w:eastAsia="仿宋_GB2312"/>
          <w:b w:val="0"/>
          <w:i w:val="0"/>
          <w:caps w:val="0"/>
          <w:spacing w:val="0"/>
          <w:w w:val="100"/>
          <w:kern w:val="2"/>
          <w:sz w:val="32"/>
          <w:szCs w:val="32"/>
          <w:lang w:val="en-US" w:eastAsia="zh-CN" w:bidi="ar-SA"/>
        </w:rPr>
        <w:t>支出决算情况说明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rPr>
        <w:t>三、</w:t>
      </w:r>
      <w:r>
        <w:rPr>
          <w:rFonts w:hint="eastAsia" w:ascii="Times New Roman" w:hAnsi="Times New Roman" w:eastAsia="仿宋_GB2312"/>
          <w:b w:val="0"/>
          <w:i w:val="0"/>
          <w:caps w:val="0"/>
          <w:spacing w:val="0"/>
          <w:w w:val="100"/>
          <w:kern w:val="2"/>
          <w:sz w:val="32"/>
          <w:szCs w:val="32"/>
          <w:lang w:val="en-US" w:eastAsia="zh-CN" w:bidi="ar-SA"/>
        </w:rPr>
        <w:t>一般公共预算财政拨款支出决算表公开到功能分类项级科目</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rPr>
        <w:t>四、</w:t>
      </w:r>
      <w:r>
        <w:rPr>
          <w:rFonts w:hint="eastAsia" w:ascii="Times New Roman" w:hAnsi="Times New Roman" w:eastAsia="仿宋_GB2312"/>
          <w:b w:val="0"/>
          <w:i w:val="0"/>
          <w:caps w:val="0"/>
          <w:spacing w:val="0"/>
          <w:w w:val="100"/>
          <w:kern w:val="2"/>
          <w:sz w:val="32"/>
          <w:szCs w:val="32"/>
          <w:lang w:val="en-US" w:eastAsia="zh-CN" w:bidi="ar-SA"/>
        </w:rPr>
        <w:t>一般公共预算财政拨款基本支出决算表公开到经济性质分类款级科目</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lang w:eastAsia="zh-CN"/>
        </w:rPr>
        <w:t>五</w:t>
      </w:r>
      <w:r>
        <w:rPr>
          <w:rFonts w:hint="eastAsia" w:ascii="Times New Roman" w:hAnsi="Times New Roman" w:eastAsia="仿宋_GB2312"/>
          <w:b w:val="0"/>
          <w:i w:val="0"/>
          <w:caps w:val="0"/>
          <w:spacing w:val="0"/>
          <w:w w:val="100"/>
          <w:sz w:val="32"/>
          <w:szCs w:val="32"/>
        </w:rPr>
        <w:t>、</w:t>
      </w:r>
      <w:r>
        <w:rPr>
          <w:rFonts w:hint="eastAsia" w:ascii="Times New Roman" w:hAnsi="Times New Roman" w:eastAsia="仿宋_GB2312"/>
          <w:b w:val="0"/>
          <w:i w:val="0"/>
          <w:caps w:val="0"/>
          <w:spacing w:val="0"/>
          <w:w w:val="100"/>
          <w:kern w:val="2"/>
          <w:sz w:val="32"/>
          <w:szCs w:val="32"/>
          <w:lang w:val="en-US" w:eastAsia="zh-CN" w:bidi="ar-SA"/>
        </w:rPr>
        <w:t>一般公共预算财政拨款“三公”经费支出决算情况说明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lang w:eastAsia="zh-CN"/>
        </w:rPr>
        <w:t>六</w:t>
      </w:r>
      <w:r>
        <w:rPr>
          <w:rFonts w:hint="eastAsia" w:ascii="Times New Roman" w:hAnsi="Times New Roman" w:eastAsia="仿宋_GB2312"/>
          <w:b w:val="0"/>
          <w:i w:val="0"/>
          <w:caps w:val="0"/>
          <w:spacing w:val="0"/>
          <w:w w:val="100"/>
          <w:sz w:val="32"/>
          <w:szCs w:val="32"/>
        </w:rPr>
        <w:t>、</w:t>
      </w:r>
      <w:r>
        <w:rPr>
          <w:rFonts w:hint="eastAsia" w:ascii="Times New Roman" w:hAnsi="Times New Roman" w:eastAsia="仿宋_GB2312"/>
          <w:b w:val="0"/>
          <w:i w:val="0"/>
          <w:caps w:val="0"/>
          <w:spacing w:val="0"/>
          <w:w w:val="100"/>
          <w:kern w:val="2"/>
          <w:sz w:val="32"/>
          <w:szCs w:val="32"/>
          <w:lang w:val="en-US" w:eastAsia="zh-CN" w:bidi="ar-SA"/>
        </w:rPr>
        <w:t>政府采购支出情况说明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lang w:eastAsia="zh-CN"/>
        </w:rPr>
        <w:t>七、</w:t>
      </w:r>
      <w:r>
        <w:rPr>
          <w:rFonts w:hint="eastAsia" w:ascii="Times New Roman" w:hAnsi="Times New Roman" w:eastAsia="仿宋_GB2312"/>
          <w:b w:val="0"/>
          <w:i w:val="0"/>
          <w:caps w:val="0"/>
          <w:spacing w:val="0"/>
          <w:w w:val="100"/>
          <w:kern w:val="2"/>
          <w:sz w:val="32"/>
          <w:szCs w:val="32"/>
          <w:lang w:val="en-US" w:eastAsia="zh-CN" w:bidi="ar-SA"/>
        </w:rPr>
        <w:t>机关运行经费执行情况说明</w:t>
      </w:r>
    </w:p>
    <w:p>
      <w:pPr>
        <w:pStyle w:val="5"/>
        <w:widowControl/>
        <w:snapToGrid/>
        <w:spacing w:before="0" w:beforeAutospacing="0" w:after="0" w:afterAutospacing="0" w:line="30" w:lineRule="atLeast"/>
        <w:ind w:firstLine="640" w:firstLineChars="200"/>
        <w:jc w:val="left"/>
        <w:textAlignment w:val="baseline"/>
        <w:rPr>
          <w:rFonts w:hint="eastAsia" w:ascii="Times New Roman" w:hAnsi="Times New Roman" w:eastAsia="仿宋_GB2312"/>
          <w:b w:val="0"/>
          <w:i w:val="0"/>
          <w:caps w:val="0"/>
          <w:spacing w:val="0"/>
          <w:w w:val="100"/>
          <w:kern w:val="2"/>
          <w:sz w:val="32"/>
          <w:szCs w:val="32"/>
          <w:lang w:val="en-US" w:eastAsia="zh-CN" w:bidi="ar-SA"/>
        </w:rPr>
      </w:pPr>
      <w:r>
        <w:rPr>
          <w:rFonts w:hint="eastAsia" w:ascii="Times New Roman" w:hAnsi="Times New Roman" w:eastAsia="仿宋_GB2312"/>
          <w:b w:val="0"/>
          <w:i w:val="0"/>
          <w:caps w:val="0"/>
          <w:spacing w:val="0"/>
          <w:w w:val="100"/>
          <w:sz w:val="32"/>
          <w:szCs w:val="32"/>
          <w:lang w:eastAsia="zh-CN"/>
        </w:rPr>
        <w:t>八</w:t>
      </w:r>
      <w:r>
        <w:rPr>
          <w:rFonts w:hint="eastAsia" w:ascii="Times New Roman" w:hAnsi="Times New Roman" w:eastAsia="仿宋_GB2312"/>
          <w:b w:val="0"/>
          <w:i w:val="0"/>
          <w:caps w:val="0"/>
          <w:spacing w:val="0"/>
          <w:w w:val="100"/>
          <w:sz w:val="32"/>
          <w:szCs w:val="32"/>
        </w:rPr>
        <w:t>、</w:t>
      </w:r>
      <w:r>
        <w:rPr>
          <w:rFonts w:hint="eastAsia" w:ascii="Times New Roman" w:hAnsi="Times New Roman" w:eastAsia="仿宋_GB2312"/>
          <w:b w:val="0"/>
          <w:i w:val="0"/>
          <w:caps w:val="0"/>
          <w:spacing w:val="0"/>
          <w:w w:val="100"/>
          <w:kern w:val="2"/>
          <w:sz w:val="32"/>
          <w:szCs w:val="32"/>
          <w:lang w:val="en-US" w:eastAsia="zh-CN" w:bidi="ar-SA"/>
        </w:rPr>
        <w:t>国有资产占用情况说明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lang w:eastAsia="zh-CN"/>
        </w:rPr>
      </w:pPr>
      <w:r>
        <w:rPr>
          <w:rFonts w:hint="eastAsia" w:ascii="Times New Roman" w:hAnsi="Times New Roman" w:eastAsia="仿宋_GB2312"/>
          <w:b w:val="0"/>
          <w:i w:val="0"/>
          <w:caps w:val="0"/>
          <w:spacing w:val="0"/>
          <w:w w:val="100"/>
          <w:sz w:val="32"/>
          <w:szCs w:val="32"/>
          <w:lang w:eastAsia="zh-CN"/>
        </w:rPr>
        <w:t>九、重点绩效评价结果等预算绩效情况说明</w:t>
      </w:r>
    </w:p>
    <w:p>
      <w:pPr>
        <w:snapToGrid/>
        <w:spacing w:before="0" w:beforeAutospacing="0" w:after="0" w:afterAutospacing="0" w:line="240" w:lineRule="auto"/>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第四部分  名词解释</w:t>
      </w: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jc w:val="both"/>
        <w:textAlignment w:val="baseline"/>
        <w:rPr>
          <w:rFonts w:ascii="Times New Roman" w:hAnsi="Times New Roman"/>
          <w:b w:val="0"/>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ascii="Times New Roman" w:hAnsi="Times New Roman" w:eastAsia="黑体"/>
          <w:b w:val="0"/>
          <w:i w:val="0"/>
          <w:caps w:val="0"/>
          <w:spacing w:val="0"/>
          <w:w w:val="100"/>
          <w:sz w:val="32"/>
          <w:szCs w:val="32"/>
        </w:rPr>
      </w:pPr>
    </w:p>
    <w:p>
      <w:pPr>
        <w:snapToGrid/>
        <w:spacing w:before="0" w:beforeAutospacing="0" w:after="0" w:afterAutospacing="0" w:line="240" w:lineRule="auto"/>
        <w:ind w:firstLine="643" w:firstLineChars="200"/>
        <w:jc w:val="both"/>
        <w:textAlignment w:val="baseline"/>
        <w:rPr>
          <w:rFonts w:hint="eastAsia" w:ascii="Times New Roman" w:hAnsi="Times New Roman" w:eastAsia="黑体"/>
          <w:b/>
          <w:bCs/>
          <w:i w:val="0"/>
          <w:caps w:val="0"/>
          <w:spacing w:val="0"/>
          <w:w w:val="100"/>
          <w:sz w:val="32"/>
          <w:szCs w:val="32"/>
        </w:rPr>
      </w:pPr>
    </w:p>
    <w:p>
      <w:pPr>
        <w:snapToGrid/>
        <w:spacing w:before="0" w:beforeAutospacing="0" w:after="0" w:afterAutospacing="0" w:line="240" w:lineRule="auto"/>
        <w:ind w:firstLine="643" w:firstLineChars="200"/>
        <w:jc w:val="both"/>
        <w:textAlignment w:val="baseline"/>
        <w:rPr>
          <w:rFonts w:hint="eastAsia" w:ascii="Times New Roman" w:hAnsi="Times New Roman" w:eastAsia="黑体"/>
          <w:b/>
          <w:bCs/>
          <w:i w:val="0"/>
          <w:caps w:val="0"/>
          <w:spacing w:val="0"/>
          <w:w w:val="100"/>
          <w:sz w:val="32"/>
          <w:szCs w:val="32"/>
        </w:rPr>
      </w:pPr>
      <w:r>
        <w:rPr>
          <w:rFonts w:hint="eastAsia" w:ascii="Times New Roman" w:hAnsi="Times New Roman" w:eastAsia="黑体"/>
          <w:b/>
          <w:bCs/>
          <w:i w:val="0"/>
          <w:caps w:val="0"/>
          <w:spacing w:val="0"/>
          <w:w w:val="100"/>
          <w:sz w:val="32"/>
          <w:szCs w:val="32"/>
        </w:rPr>
        <w:t xml:space="preserve">第一部分  </w:t>
      </w:r>
      <w:r>
        <w:rPr>
          <w:rFonts w:hint="eastAsia" w:ascii="Times New Roman" w:hAnsi="Times New Roman" w:eastAsia="黑体" w:cs="黑体"/>
          <w:b/>
          <w:bCs/>
          <w:i w:val="0"/>
          <w:caps w:val="0"/>
          <w:spacing w:val="0"/>
          <w:w w:val="100"/>
          <w:sz w:val="32"/>
          <w:szCs w:val="32"/>
          <w:lang w:eastAsia="zh-CN"/>
        </w:rPr>
        <w:t>襄垣</w:t>
      </w:r>
      <w:r>
        <w:rPr>
          <w:rFonts w:hint="eastAsia" w:ascii="Times New Roman" w:hAnsi="Times New Roman" w:eastAsia="黑体" w:cs="黑体"/>
          <w:b/>
          <w:bCs/>
          <w:i w:val="0"/>
          <w:caps w:val="0"/>
          <w:spacing w:val="0"/>
          <w:w w:val="100"/>
          <w:sz w:val="32"/>
          <w:szCs w:val="32"/>
        </w:rPr>
        <w:t>县</w:t>
      </w:r>
      <w:r>
        <w:rPr>
          <w:rFonts w:hint="eastAsia" w:ascii="Times New Roman" w:hAnsi="Times New Roman" w:eastAsia="黑体" w:cs="Arial"/>
          <w:b/>
          <w:bCs/>
          <w:i w:val="0"/>
          <w:caps w:val="0"/>
          <w:spacing w:val="0"/>
          <w:w w:val="100"/>
          <w:sz w:val="32"/>
          <w:szCs w:val="32"/>
          <w:lang w:val="en-US" w:eastAsia="zh-CN"/>
        </w:rPr>
        <w:t>新闻中心</w:t>
      </w:r>
      <w:r>
        <w:rPr>
          <w:rFonts w:hint="eastAsia" w:ascii="Times New Roman" w:hAnsi="Times New Roman" w:eastAsia="黑体"/>
          <w:b/>
          <w:bCs/>
          <w:i w:val="0"/>
          <w:caps w:val="0"/>
          <w:spacing w:val="0"/>
          <w:w w:val="100"/>
          <w:sz w:val="32"/>
          <w:szCs w:val="32"/>
        </w:rPr>
        <w:t>概况</w:t>
      </w:r>
    </w:p>
    <w:p>
      <w:pPr>
        <w:snapToGrid/>
        <w:spacing w:before="0" w:beforeAutospacing="0" w:after="0" w:afterAutospacing="0" w:line="240" w:lineRule="auto"/>
        <w:ind w:firstLine="643" w:firstLineChars="200"/>
        <w:jc w:val="both"/>
        <w:textAlignment w:val="baseline"/>
        <w:rPr>
          <w:rFonts w:hint="eastAsia" w:ascii="Times New Roman" w:hAnsi="Times New Roman" w:eastAsia="楷体"/>
          <w:b/>
          <w:i w:val="0"/>
          <w:caps w:val="0"/>
          <w:color w:val="FF0000"/>
          <w:spacing w:val="0"/>
          <w:w w:val="100"/>
          <w:sz w:val="32"/>
          <w:szCs w:val="32"/>
          <w:lang w:eastAsia="zh-CN"/>
        </w:rPr>
      </w:pPr>
      <w:r>
        <w:rPr>
          <w:rFonts w:hint="eastAsia" w:ascii="Times New Roman" w:hAnsi="Times New Roman" w:eastAsia="楷体"/>
          <w:b/>
          <w:bCs w:val="0"/>
          <w:i w:val="0"/>
          <w:caps w:val="0"/>
          <w:spacing w:val="0"/>
          <w:w w:val="100"/>
          <w:sz w:val="32"/>
          <w:szCs w:val="32"/>
        </w:rPr>
        <w:t>一、部门主要职能</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单位职责为紧紧围绕县委、县政府的中心工作，搞好对外报道，协调全县各新闻媒体单位宣传工作，强化新闻业务管理，积极搞好接待上级新闻单位工作，配合采写新闻稿件，搞好通讯员队伍建设，培养高素质的通讯员，召集和举办各种新闻发布会，兼办《襄垣》内部刊物。</w:t>
      </w:r>
    </w:p>
    <w:p>
      <w:pPr>
        <w:snapToGrid/>
        <w:spacing w:before="0" w:beforeAutospacing="0" w:after="0" w:afterAutospacing="0" w:line="240" w:lineRule="auto"/>
        <w:ind w:firstLine="643" w:firstLineChars="200"/>
        <w:jc w:val="both"/>
        <w:textAlignment w:val="baseline"/>
        <w:rPr>
          <w:rFonts w:ascii="Times New Roman" w:hAnsi="Times New Roman" w:eastAsia="楷体"/>
          <w:b/>
          <w:bCs w:val="0"/>
          <w:i w:val="0"/>
          <w:caps w:val="0"/>
          <w:spacing w:val="0"/>
          <w:w w:val="100"/>
          <w:sz w:val="32"/>
          <w:szCs w:val="32"/>
        </w:rPr>
      </w:pPr>
      <w:r>
        <w:rPr>
          <w:rFonts w:hint="eastAsia" w:ascii="Times New Roman" w:hAnsi="Times New Roman" w:eastAsia="楷体"/>
          <w:b/>
          <w:bCs w:val="0"/>
          <w:i w:val="0"/>
          <w:caps w:val="0"/>
          <w:spacing w:val="0"/>
          <w:w w:val="100"/>
          <w:sz w:val="32"/>
          <w:szCs w:val="32"/>
        </w:rPr>
        <w:t>二、部门基本情况</w:t>
      </w:r>
    </w:p>
    <w:p>
      <w:pPr>
        <w:widowControl/>
        <w:snapToGrid/>
        <w:spacing w:before="0" w:beforeAutospacing="0" w:after="0" w:afterAutospacing="0" w:line="324" w:lineRule="atLeast"/>
        <w:ind w:left="540"/>
        <w:jc w:val="left"/>
        <w:textAlignment w:val="baseline"/>
        <w:rPr>
          <w:rFonts w:hint="eastAsia" w:ascii="Times New Roman" w:hAnsi="Times New Roman" w:eastAsia="仿宋_GB2312" w:cs="宋体"/>
          <w:b w:val="0"/>
          <w:bCs/>
          <w:i w:val="0"/>
          <w:caps w:val="0"/>
          <w:color w:val="333333"/>
          <w:spacing w:val="0"/>
          <w:w w:val="100"/>
          <w:kern w:val="0"/>
          <w:sz w:val="18"/>
          <w:szCs w:val="18"/>
          <w:lang w:eastAsia="zh-CN"/>
        </w:rPr>
      </w:pPr>
      <w:r>
        <w:rPr>
          <w:rFonts w:hint="eastAsia" w:ascii="Times New Roman" w:hAnsi="Times New Roman" w:eastAsia="仿宋_GB2312" w:cs="宋体"/>
          <w:b w:val="0"/>
          <w:bCs/>
          <w:i w:val="0"/>
          <w:caps w:val="0"/>
          <w:color w:val="333333"/>
          <w:spacing w:val="0"/>
          <w:w w:val="100"/>
          <w:kern w:val="0"/>
          <w:sz w:val="32"/>
          <w:szCs w:val="32"/>
        </w:rPr>
        <w:t>（一）</w:t>
      </w:r>
      <w:r>
        <w:rPr>
          <w:rFonts w:hint="eastAsia" w:ascii="Times New Roman" w:hAnsi="Times New Roman" w:eastAsia="仿宋_GB2312" w:cs="宋体"/>
          <w:b w:val="0"/>
          <w:bCs/>
          <w:i w:val="0"/>
          <w:caps w:val="0"/>
          <w:color w:val="333333"/>
          <w:spacing w:val="0"/>
          <w:w w:val="100"/>
          <w:kern w:val="0"/>
          <w:sz w:val="32"/>
          <w:szCs w:val="32"/>
          <w:lang w:eastAsia="zh-CN"/>
        </w:rPr>
        <w:t>机构设置情况</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襄垣县新闻中心内设5个内设机构，分别为：办公室、财务科、通联科、采编部、新闻科。其中，行政编制7名，事业编制3名。实有10人，其中公务员7名，事业人员3名。</w:t>
      </w:r>
    </w:p>
    <w:p>
      <w:pPr>
        <w:widowControl/>
        <w:snapToGrid/>
        <w:spacing w:before="0" w:beforeAutospacing="0" w:after="0" w:afterAutospacing="0" w:line="324" w:lineRule="atLeast"/>
        <w:ind w:left="540"/>
        <w:jc w:val="left"/>
        <w:textAlignment w:val="baseline"/>
        <w:rPr>
          <w:rFonts w:ascii="Times New Roman" w:hAnsi="Times New Roman" w:eastAsia="仿宋_GB2312" w:cs="宋体"/>
          <w:b w:val="0"/>
          <w:bCs/>
          <w:i w:val="0"/>
          <w:caps w:val="0"/>
          <w:color w:val="333333"/>
          <w:spacing w:val="0"/>
          <w:w w:val="100"/>
          <w:kern w:val="0"/>
          <w:sz w:val="32"/>
          <w:szCs w:val="32"/>
        </w:rPr>
      </w:pPr>
      <w:r>
        <w:rPr>
          <w:rFonts w:hint="eastAsia" w:ascii="Times New Roman" w:hAnsi="Times New Roman" w:eastAsia="仿宋_GB2312" w:cs="宋体"/>
          <w:b w:val="0"/>
          <w:bCs/>
          <w:i w:val="0"/>
          <w:caps w:val="0"/>
          <w:color w:val="333333"/>
          <w:spacing w:val="0"/>
          <w:w w:val="100"/>
          <w:kern w:val="0"/>
          <w:sz w:val="32"/>
          <w:szCs w:val="32"/>
        </w:rPr>
        <w:t>（二）人员情况说明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现有行政、事业编制10名，其中，行政编制7名，事业编制3名。实有10人，其中公务员7名，事业人员3名。</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 w:cs="仿宋_GB2312"/>
          <w:b w:val="0"/>
          <w:i w:val="0"/>
          <w:caps w:val="0"/>
          <w:spacing w:val="0"/>
          <w:w w:val="100"/>
          <w:kern w:val="2"/>
          <w:sz w:val="32"/>
          <w:szCs w:val="32"/>
          <w:lang w:val="en-US" w:eastAsia="zh-CN" w:bidi="ar"/>
        </w:rPr>
        <w:t>（三）</w:t>
      </w:r>
      <w:r>
        <w:rPr>
          <w:rFonts w:hint="eastAsia" w:ascii="Times New Roman" w:hAnsi="Times New Roman" w:eastAsia="仿宋_GB2312"/>
          <w:b w:val="0"/>
          <w:i w:val="0"/>
          <w:caps w:val="0"/>
          <w:spacing w:val="0"/>
          <w:w w:val="100"/>
          <w:sz w:val="32"/>
          <w:szCs w:val="32"/>
          <w:lang w:val="en-US" w:eastAsia="zh-CN"/>
        </w:rPr>
        <w:t>本套部门决算汇编范围的单位共1个，包括：襄垣县新闻中心。</w:t>
      </w:r>
    </w:p>
    <w:p>
      <w:pPr>
        <w:snapToGrid/>
        <w:spacing w:before="0" w:beforeAutospacing="0" w:after="0" w:afterAutospacing="0" w:line="240" w:lineRule="auto"/>
        <w:ind w:firstLine="640" w:firstLineChars="200"/>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第二部分  201</w:t>
      </w:r>
      <w:r>
        <w:rPr>
          <w:rFonts w:hint="eastAsia" w:ascii="Times New Roman" w:hAnsi="Times New Roman" w:eastAsia="黑体"/>
          <w:b w:val="0"/>
          <w:i w:val="0"/>
          <w:caps w:val="0"/>
          <w:spacing w:val="0"/>
          <w:w w:val="100"/>
          <w:sz w:val="32"/>
          <w:szCs w:val="32"/>
          <w:lang w:val="en-US" w:eastAsia="zh-CN"/>
        </w:rPr>
        <w:t>8</w:t>
      </w:r>
      <w:r>
        <w:rPr>
          <w:rFonts w:hint="eastAsia" w:ascii="Times New Roman" w:hAnsi="Times New Roman" w:eastAsia="黑体"/>
          <w:b w:val="0"/>
          <w:i w:val="0"/>
          <w:caps w:val="0"/>
          <w:spacing w:val="0"/>
          <w:w w:val="100"/>
          <w:sz w:val="32"/>
          <w:szCs w:val="32"/>
        </w:rPr>
        <w:t>年度部门决算</w:t>
      </w:r>
      <w:r>
        <w:rPr>
          <w:rFonts w:hint="eastAsia" w:ascii="Times New Roman" w:hAnsi="Times New Roman" w:eastAsia="黑体"/>
          <w:b w:val="0"/>
          <w:i w:val="0"/>
          <w:caps w:val="0"/>
          <w:spacing w:val="0"/>
          <w:w w:val="100"/>
          <w:sz w:val="32"/>
          <w:szCs w:val="32"/>
          <w:lang w:eastAsia="zh-CN"/>
        </w:rPr>
        <w:t>公开</w:t>
      </w:r>
      <w:r>
        <w:rPr>
          <w:rFonts w:hint="eastAsia" w:ascii="Times New Roman" w:hAnsi="Times New Roman" w:eastAsia="黑体"/>
          <w:b w:val="0"/>
          <w:i w:val="0"/>
          <w:caps w:val="0"/>
          <w:spacing w:val="0"/>
          <w:w w:val="100"/>
          <w:sz w:val="32"/>
          <w:szCs w:val="32"/>
        </w:rPr>
        <w:t>表</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snapToGrid/>
        <w:spacing w:before="0" w:beforeAutospacing="0" w:after="0" w:afterAutospacing="0" w:line="240" w:lineRule="auto"/>
        <w:ind w:firstLine="640" w:firstLineChars="200"/>
        <w:jc w:val="both"/>
        <w:textAlignment w:val="baseline"/>
        <w:rPr>
          <w:rFonts w:hint="eastAsia" w:ascii="Times New Roman" w:hAnsi="Times New Roman" w:eastAsia="黑体"/>
          <w:b w:val="0"/>
          <w:i w:val="0"/>
          <w:caps w:val="0"/>
          <w:color w:val="C00000"/>
          <w:spacing w:val="0"/>
          <w:w w:val="100"/>
          <w:sz w:val="32"/>
          <w:szCs w:val="32"/>
          <w:lang w:eastAsia="zh-CN"/>
        </w:rPr>
      </w:pPr>
      <w:r>
        <w:rPr>
          <w:rFonts w:hint="eastAsia" w:ascii="Times New Roman" w:hAnsi="Times New Roman" w:eastAsia="黑体"/>
          <w:b w:val="0"/>
          <w:i w:val="0"/>
          <w:caps w:val="0"/>
          <w:spacing w:val="0"/>
          <w:w w:val="100"/>
          <w:sz w:val="32"/>
          <w:szCs w:val="32"/>
        </w:rPr>
        <w:t>第三部分  201</w:t>
      </w:r>
      <w:r>
        <w:rPr>
          <w:rFonts w:hint="eastAsia" w:ascii="Times New Roman" w:hAnsi="Times New Roman" w:eastAsia="黑体"/>
          <w:b w:val="0"/>
          <w:i w:val="0"/>
          <w:caps w:val="0"/>
          <w:spacing w:val="0"/>
          <w:w w:val="100"/>
          <w:sz w:val="32"/>
          <w:szCs w:val="32"/>
          <w:lang w:val="en-US" w:eastAsia="zh-CN"/>
        </w:rPr>
        <w:t>8</w:t>
      </w:r>
      <w:r>
        <w:rPr>
          <w:rFonts w:hint="eastAsia" w:ascii="Times New Roman" w:hAnsi="Times New Roman" w:eastAsia="黑体"/>
          <w:b w:val="0"/>
          <w:i w:val="0"/>
          <w:caps w:val="0"/>
          <w:spacing w:val="0"/>
          <w:w w:val="100"/>
          <w:sz w:val="32"/>
          <w:szCs w:val="32"/>
        </w:rPr>
        <w:t>年度部门决算情况说明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楷体"/>
          <w:b/>
          <w:i w:val="0"/>
          <w:caps w:val="0"/>
          <w:color w:val="FF0000"/>
          <w:spacing w:val="0"/>
          <w:w w:val="100"/>
          <w:sz w:val="32"/>
          <w:szCs w:val="32"/>
          <w:lang w:eastAsia="zh-CN"/>
        </w:rPr>
      </w:pPr>
      <w:r>
        <w:rPr>
          <w:rFonts w:hint="eastAsia" w:ascii="Times New Roman" w:hAnsi="Times New Roman" w:eastAsia="楷体"/>
          <w:b w:val="0"/>
          <w:bCs/>
          <w:i w:val="0"/>
          <w:caps w:val="0"/>
          <w:spacing w:val="0"/>
          <w:w w:val="100"/>
          <w:sz w:val="32"/>
          <w:szCs w:val="32"/>
        </w:rPr>
        <w:t>一、收入决算情况说明</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本部门2018年度收入总计</w:t>
      </w:r>
      <w:r>
        <w:rPr>
          <w:rFonts w:hint="eastAsia" w:ascii="Times New Roman" w:hAnsi="Times New Roman" w:eastAsia="仿宋_GB2312"/>
          <w:b w:val="0"/>
          <w:i w:val="0"/>
          <w:caps w:val="0"/>
          <w:spacing w:val="0"/>
          <w:w w:val="100"/>
          <w:sz w:val="32"/>
          <w:szCs w:val="32"/>
          <w:lang w:val="en-US" w:eastAsia="zh-CN"/>
        </w:rPr>
        <w:t>299.69万元，较2017年增加12.86万元，增加4.5%；主要原因是：主要原因是新招录了两名公务员，以及上级媒体宣传费用的年度差异。</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 xml:space="preserve">本年收入的具体构成为：财政拨款收入299.69万元，占100%；其他收入0万元，占0%。  </w:t>
      </w:r>
    </w:p>
    <w:p>
      <w:pPr>
        <w:snapToGrid/>
        <w:spacing w:before="0" w:beforeAutospacing="0" w:after="0" w:afterAutospacing="0" w:line="240" w:lineRule="auto"/>
        <w:ind w:firstLine="640" w:firstLineChars="200"/>
        <w:jc w:val="both"/>
        <w:textAlignment w:val="baseline"/>
        <w:rPr>
          <w:rFonts w:ascii="Times New Roman" w:hAnsi="Times New Roman" w:eastAsia="楷体"/>
          <w:b w:val="0"/>
          <w:bCs/>
          <w:i w:val="0"/>
          <w:caps w:val="0"/>
          <w:spacing w:val="0"/>
          <w:w w:val="100"/>
          <w:sz w:val="32"/>
          <w:szCs w:val="32"/>
        </w:rPr>
      </w:pPr>
      <w:r>
        <w:rPr>
          <w:rFonts w:hint="eastAsia" w:ascii="Times New Roman" w:hAnsi="Times New Roman" w:eastAsia="楷体"/>
          <w:b w:val="0"/>
          <w:bCs/>
          <w:i w:val="0"/>
          <w:caps w:val="0"/>
          <w:spacing w:val="0"/>
          <w:w w:val="100"/>
          <w:sz w:val="32"/>
          <w:szCs w:val="32"/>
        </w:rPr>
        <w:t>二、支出决算情况说明</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本部门2018年度支出总计299.69万元，其中本年支出合计299.69万元，较2017年增加12.39万元，增加4.3%，主要原因是：上级媒体宣传费用的年度差异。</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本年支出的具体构成为：基本支出66.81万元，占22.29%；项目支出232.88万元，占77.71%；经营支出0万元，占0%；其他支出（对附属单位补助支出、上缴上级支出）0万元，占0%。</w:t>
      </w:r>
    </w:p>
    <w:p>
      <w:pPr>
        <w:snapToGrid/>
        <w:spacing w:before="0" w:beforeAutospacing="0" w:after="0" w:afterAutospacing="0" w:line="240" w:lineRule="auto"/>
        <w:ind w:firstLine="640" w:firstLineChars="200"/>
        <w:jc w:val="both"/>
        <w:textAlignment w:val="baseline"/>
        <w:rPr>
          <w:rFonts w:hint="default" w:ascii="Times New Roman" w:hAnsi="Times New Roman" w:eastAsia="楷体"/>
          <w:b w:val="0"/>
          <w:bCs/>
          <w:i w:val="0"/>
          <w:caps w:val="0"/>
          <w:spacing w:val="0"/>
          <w:w w:val="100"/>
          <w:sz w:val="32"/>
          <w:szCs w:val="32"/>
          <w:lang w:val="en-US"/>
        </w:rPr>
      </w:pPr>
      <w:r>
        <w:rPr>
          <w:rFonts w:hint="eastAsia" w:ascii="Times New Roman" w:hAnsi="Times New Roman" w:eastAsia="楷体"/>
          <w:b w:val="0"/>
          <w:bCs/>
          <w:i w:val="0"/>
          <w:caps w:val="0"/>
          <w:spacing w:val="0"/>
          <w:w w:val="100"/>
          <w:sz w:val="32"/>
          <w:szCs w:val="32"/>
        </w:rPr>
        <w:t>三、</w:t>
      </w:r>
      <w:r>
        <w:rPr>
          <w:rFonts w:hint="eastAsia" w:ascii="Times New Roman" w:hAnsi="Times New Roman" w:eastAsia="楷体"/>
          <w:b w:val="0"/>
          <w:bCs/>
          <w:i w:val="0"/>
          <w:caps w:val="0"/>
          <w:spacing w:val="0"/>
          <w:w w:val="100"/>
          <w:sz w:val="32"/>
          <w:szCs w:val="32"/>
          <w:lang w:eastAsia="zh-CN"/>
        </w:rPr>
        <w:t>一般公共预算财政拨款支出决算表公开到功能分类项级科目（</w:t>
      </w:r>
      <w:r>
        <w:rPr>
          <w:rFonts w:hint="eastAsia" w:ascii="Times New Roman" w:hAnsi="Times New Roman" w:eastAsia="楷体"/>
          <w:b w:val="0"/>
          <w:bCs/>
          <w:i w:val="0"/>
          <w:caps w:val="0"/>
          <w:spacing w:val="0"/>
          <w:w w:val="100"/>
          <w:sz w:val="32"/>
          <w:szCs w:val="32"/>
          <w:lang w:val="en-US" w:eastAsia="zh-CN"/>
        </w:rPr>
        <w:t>05表）</w:t>
      </w:r>
    </w:p>
    <w:p>
      <w:pPr>
        <w:snapToGrid/>
        <w:spacing w:before="0" w:beforeAutospacing="0" w:after="0" w:afterAutospacing="0" w:line="240" w:lineRule="auto"/>
        <w:ind w:firstLine="645"/>
        <w:jc w:val="both"/>
        <w:textAlignment w:val="baseline"/>
        <w:rPr>
          <w:rFonts w:hint="default"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本部门2018年度财政拨款本年支出年初预算数为   299.69万元，决算数为299.69万元，完成年初预算的100%。其中：一般公共服务支出年初预算数为299.69万元，决算数为299.69万元，完成年初预算的 100%，主要原因是：外出招商引资活动；教育支出决算数0万元；社会保障和就业支出决算数0万元。</w:t>
      </w:r>
    </w:p>
    <w:p>
      <w:pPr>
        <w:snapToGrid/>
        <w:spacing w:before="0" w:beforeAutospacing="0" w:after="0" w:afterAutospacing="0" w:line="240" w:lineRule="auto"/>
        <w:ind w:firstLine="640" w:firstLineChars="200"/>
        <w:jc w:val="both"/>
        <w:textAlignment w:val="baseline"/>
        <w:rPr>
          <w:rFonts w:hint="default" w:ascii="Times New Roman" w:hAnsi="Times New Roman" w:eastAsia="楷体"/>
          <w:b w:val="0"/>
          <w:bCs/>
          <w:i w:val="0"/>
          <w:caps w:val="0"/>
          <w:spacing w:val="0"/>
          <w:w w:val="100"/>
          <w:sz w:val="32"/>
          <w:szCs w:val="32"/>
          <w:lang w:val="en-US"/>
        </w:rPr>
      </w:pPr>
      <w:r>
        <w:rPr>
          <w:rFonts w:hint="eastAsia" w:ascii="Times New Roman" w:hAnsi="Times New Roman" w:eastAsia="楷体"/>
          <w:b w:val="0"/>
          <w:bCs/>
          <w:i w:val="0"/>
          <w:caps w:val="0"/>
          <w:spacing w:val="0"/>
          <w:w w:val="100"/>
          <w:sz w:val="32"/>
          <w:szCs w:val="32"/>
        </w:rPr>
        <w:t>四、一般公共预算财政拨款基本支出决算</w:t>
      </w:r>
      <w:r>
        <w:rPr>
          <w:rFonts w:hint="eastAsia" w:ascii="Times New Roman" w:hAnsi="Times New Roman" w:eastAsia="楷体"/>
          <w:b w:val="0"/>
          <w:bCs/>
          <w:i w:val="0"/>
          <w:caps w:val="0"/>
          <w:spacing w:val="0"/>
          <w:w w:val="100"/>
          <w:sz w:val="32"/>
          <w:szCs w:val="32"/>
          <w:lang w:eastAsia="zh-CN"/>
        </w:rPr>
        <w:t>表公开到经济性质分类款级科目（</w:t>
      </w:r>
      <w:r>
        <w:rPr>
          <w:rFonts w:hint="eastAsia" w:ascii="Times New Roman" w:hAnsi="Times New Roman" w:eastAsia="楷体"/>
          <w:b w:val="0"/>
          <w:bCs/>
          <w:i w:val="0"/>
          <w:caps w:val="0"/>
          <w:spacing w:val="0"/>
          <w:w w:val="100"/>
          <w:sz w:val="32"/>
          <w:szCs w:val="32"/>
          <w:lang w:val="en-US" w:eastAsia="zh-CN"/>
        </w:rPr>
        <w:t>06表）</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本部门201</w:t>
      </w:r>
      <w:r>
        <w:rPr>
          <w:rFonts w:hint="eastAsia" w:ascii="Times New Roman" w:hAnsi="Times New Roman" w:eastAsia="仿宋_GB2312"/>
          <w:b w:val="0"/>
          <w:i w:val="0"/>
          <w:caps w:val="0"/>
          <w:spacing w:val="0"/>
          <w:w w:val="100"/>
          <w:sz w:val="32"/>
          <w:szCs w:val="32"/>
          <w:lang w:val="en-US" w:eastAsia="zh-CN"/>
        </w:rPr>
        <w:t>8年度一般公共预算财政拨款基本支出66.81万元，其中：</w:t>
      </w:r>
    </w:p>
    <w:p>
      <w:pPr>
        <w:snapToGrid/>
        <w:spacing w:before="0" w:beforeAutospacing="0" w:after="0" w:afterAutospacing="0" w:line="240" w:lineRule="auto"/>
        <w:ind w:firstLine="645"/>
        <w:jc w:val="both"/>
        <w:textAlignment w:val="baseline"/>
        <w:rPr>
          <w:rFonts w:hint="default"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（一）工资福利支出53.78万元，较2017年减少18.12万元，减少25.2%，主要原因是：新招录了两名公务员，同时，调出两名事业人员。</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（二）商品和服务支出12.75万元，较2017年减少13.75万元，下降51.88%，主要原因是：上级媒体宣传费用的年度差异。</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（三）对个人和家庭补助支出0.28万元，较2017年减少4.72万元，下降94.4%，主要原因是：无采暖补贴。</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（四）资本性支出0万元，较2017年减少0.75万元，主要原因是：活动增加。</w:t>
      </w:r>
    </w:p>
    <w:p>
      <w:pPr>
        <w:snapToGrid/>
        <w:spacing w:before="0" w:beforeAutospacing="0" w:after="0" w:afterAutospacing="0" w:line="240" w:lineRule="auto"/>
        <w:ind w:firstLine="640" w:firstLineChars="200"/>
        <w:jc w:val="both"/>
        <w:textAlignment w:val="baseline"/>
        <w:rPr>
          <w:rFonts w:hint="default" w:ascii="Times New Roman" w:hAnsi="Times New Roman" w:eastAsia="楷体"/>
          <w:b/>
          <w:i w:val="0"/>
          <w:caps w:val="0"/>
          <w:color w:val="FF0000"/>
          <w:spacing w:val="0"/>
          <w:w w:val="100"/>
          <w:sz w:val="32"/>
          <w:szCs w:val="32"/>
          <w:lang w:val="en-US" w:eastAsia="zh-CN"/>
        </w:rPr>
      </w:pPr>
      <w:r>
        <w:rPr>
          <w:rFonts w:hint="eastAsia" w:ascii="Times New Roman" w:hAnsi="Times New Roman" w:eastAsia="楷体"/>
          <w:b w:val="0"/>
          <w:bCs/>
          <w:i w:val="0"/>
          <w:caps w:val="0"/>
          <w:spacing w:val="0"/>
          <w:w w:val="100"/>
          <w:sz w:val="32"/>
          <w:szCs w:val="32"/>
        </w:rPr>
        <w:t>五、一般公共预算财政拨款“三公”经费支出决算情况说明</w:t>
      </w:r>
    </w:p>
    <w:p>
      <w:pPr>
        <w:snapToGrid/>
        <w:spacing w:before="0" w:beforeAutospacing="0" w:after="0" w:afterAutospacing="0" w:line="240" w:lineRule="auto"/>
        <w:ind w:firstLine="645"/>
        <w:jc w:val="both"/>
        <w:textAlignment w:val="baseline"/>
        <w:rPr>
          <w:rFonts w:hint="eastAsia" w:ascii="Times New Roman" w:hAnsi="Times New Roman" w:eastAsia="仿宋_GB2312"/>
          <w:b w:val="0"/>
          <w:i w:val="0"/>
          <w:caps w:val="0"/>
          <w:spacing w:val="0"/>
          <w:w w:val="100"/>
          <w:sz w:val="32"/>
          <w:szCs w:val="32"/>
          <w:lang w:val="en-US" w:eastAsia="zh-CN"/>
        </w:rPr>
      </w:pPr>
      <w:r>
        <w:rPr>
          <w:rFonts w:hint="eastAsia" w:ascii="Times New Roman" w:hAnsi="Times New Roman" w:eastAsia="仿宋_GB2312"/>
          <w:b w:val="0"/>
          <w:i w:val="0"/>
          <w:caps w:val="0"/>
          <w:spacing w:val="0"/>
          <w:w w:val="100"/>
          <w:sz w:val="32"/>
          <w:szCs w:val="32"/>
          <w:lang w:val="en-US" w:eastAsia="zh-CN"/>
        </w:rPr>
        <w:t>本部门2018年度一般公共预算财政拨款“三公”经费支出年初预算数为0万元，决算数为0万元.公务接待统一由县接待中心负责，因此，无“三公”经费支出，2018年度“三公”经费支出为0元，较2017年无变化。其中：</w:t>
      </w:r>
    </w:p>
    <w:p>
      <w:pPr>
        <w:numPr>
          <w:ilvl w:val="0"/>
          <w:numId w:val="1"/>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因公出国（境）支出年初预算数为0万元，决算数为0万元，完成预算的0%，</w:t>
      </w:r>
      <w:r>
        <w:rPr>
          <w:rFonts w:hint="eastAsia" w:ascii="仿宋_GB2312" w:hAnsi="宋体" w:eastAsia="仿宋_GB2312" w:cs="宋体"/>
          <w:color w:val="000000"/>
          <w:sz w:val="32"/>
          <w:szCs w:val="32"/>
          <w:lang w:eastAsia="zh-CN"/>
        </w:rPr>
        <w:t>因公出国（境）团组数为</w:t>
      </w:r>
      <w:r>
        <w:rPr>
          <w:rFonts w:hint="eastAsia" w:ascii="仿宋_GB2312" w:hAnsi="宋体" w:eastAsia="仿宋_GB2312" w:cs="宋体"/>
          <w:color w:val="000000"/>
          <w:sz w:val="32"/>
          <w:szCs w:val="32"/>
          <w:lang w:val="en-US" w:eastAsia="zh-CN"/>
        </w:rPr>
        <w:t>0，人数为0。</w:t>
      </w:r>
      <w:r>
        <w:rPr>
          <w:rFonts w:hint="eastAsia" w:ascii="仿宋_GB2312" w:hAnsi="宋体" w:eastAsia="仿宋_GB2312" w:cs="宋体"/>
          <w:color w:val="000000"/>
          <w:sz w:val="32"/>
          <w:szCs w:val="32"/>
        </w:rPr>
        <w:t>决算数较201</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eastAsia="zh-CN"/>
        </w:rPr>
        <w:t>无变化。</w:t>
      </w:r>
    </w:p>
    <w:p>
      <w:pPr>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　　（二）公务接待费支出年初预算数为</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元，决算数为</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元</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较201</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eastAsia="zh-CN"/>
        </w:rPr>
        <w:t>无变化。</w:t>
      </w:r>
    </w:p>
    <w:p>
      <w:pPr>
        <w:ind w:firstLine="640" w:firstLineChars="200"/>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（三）公务用车购置及运行维护费支出</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元，其中公务用车购置年初预算数为0元，决算数为0元，完成预算的0%，决算数较201</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年增加（减少）0元，增长（下降）0%；公务用车运行维护费支出年初预算数为</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元，决算数为</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元，完成预算的</w:t>
      </w:r>
      <w:r>
        <w:rPr>
          <w:rFonts w:hint="eastAsia" w:ascii="仿宋_GB2312" w:hAnsi="宋体" w:eastAsia="仿宋_GB2312" w:cs="宋体"/>
          <w:color w:val="000000"/>
          <w:sz w:val="32"/>
          <w:szCs w:val="32"/>
          <w:lang w:val="en-US" w:eastAsia="zh-CN"/>
        </w:rPr>
        <w:t>0%</w:t>
      </w:r>
      <w:r>
        <w:rPr>
          <w:rFonts w:hint="eastAsia" w:ascii="仿宋_GB2312" w:hAnsi="宋体" w:eastAsia="仿宋_GB2312" w:cs="宋体"/>
          <w:color w:val="000000"/>
          <w:sz w:val="32"/>
          <w:szCs w:val="32"/>
        </w:rPr>
        <w:t>%，决算数较201</w:t>
      </w: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eastAsia="zh-CN"/>
        </w:rPr>
        <w:t>无变化</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本年度公务用车购置数</w:t>
      </w:r>
      <w:r>
        <w:rPr>
          <w:rFonts w:hint="eastAsia" w:ascii="仿宋_GB2312" w:hAnsi="宋体" w:eastAsia="仿宋_GB2312" w:cs="宋体"/>
          <w:color w:val="000000"/>
          <w:sz w:val="32"/>
          <w:szCs w:val="32"/>
          <w:lang w:val="en-US" w:eastAsia="zh-CN"/>
        </w:rPr>
        <w:t>0，公务用车保有量0。</w:t>
      </w:r>
    </w:p>
    <w:p>
      <w:pPr>
        <w:numPr>
          <w:ilvl w:val="0"/>
          <w:numId w:val="2"/>
        </w:numPr>
        <w:snapToGrid/>
        <w:spacing w:before="0" w:beforeAutospacing="0" w:after="0" w:afterAutospacing="0" w:line="240" w:lineRule="auto"/>
        <w:ind w:firstLine="640" w:firstLineChars="200"/>
        <w:jc w:val="both"/>
        <w:textAlignment w:val="baseline"/>
        <w:rPr>
          <w:rFonts w:hint="eastAsia" w:ascii="Times New Roman" w:hAnsi="Times New Roman" w:eastAsia="楷体"/>
          <w:b w:val="0"/>
          <w:bCs/>
          <w:i w:val="0"/>
          <w:caps w:val="0"/>
          <w:spacing w:val="0"/>
          <w:w w:val="100"/>
          <w:sz w:val="32"/>
          <w:szCs w:val="32"/>
        </w:rPr>
      </w:pPr>
      <w:r>
        <w:rPr>
          <w:rFonts w:hint="eastAsia" w:ascii="Times New Roman" w:hAnsi="Times New Roman" w:eastAsia="楷体"/>
          <w:b w:val="0"/>
          <w:bCs/>
          <w:i w:val="0"/>
          <w:caps w:val="0"/>
          <w:spacing w:val="0"/>
          <w:w w:val="100"/>
          <w:sz w:val="32"/>
          <w:szCs w:val="32"/>
        </w:rPr>
        <w:t>政府采购支出情况说明</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color w:val="5B9BD5" w:themeColor="accent1"/>
          <w:spacing w:val="0"/>
          <w:w w:val="100"/>
          <w:sz w:val="32"/>
          <w:szCs w:val="32"/>
          <w14:textFill>
            <w14:solidFill>
              <w14:schemeClr w14:val="accent1"/>
            </w14:solidFill>
          </w14:textFill>
        </w:rPr>
      </w:pPr>
      <w:r>
        <w:rPr>
          <w:rFonts w:hint="eastAsia" w:ascii="Times New Roman" w:hAnsi="Times New Roman" w:eastAsia="仿宋_GB2312"/>
          <w:b w:val="0"/>
          <w:i w:val="0"/>
          <w:caps w:val="0"/>
          <w:color w:val="000000"/>
          <w:spacing w:val="0"/>
          <w:w w:val="100"/>
          <w:sz w:val="32"/>
          <w:szCs w:val="32"/>
        </w:rPr>
        <w:t>本部门</w:t>
      </w:r>
      <w:r>
        <w:rPr>
          <w:rFonts w:hint="eastAsia" w:ascii="Times New Roman" w:hAnsi="Times New Roman" w:eastAsia="仿宋_GB2312" w:cs="仿宋_GB2312"/>
          <w:b w:val="0"/>
          <w:bCs w:val="0"/>
          <w:i w:val="0"/>
          <w:caps w:val="0"/>
          <w:spacing w:val="0"/>
          <w:w w:val="100"/>
          <w:sz w:val="32"/>
          <w:szCs w:val="32"/>
          <w:lang w:val="en-US" w:eastAsia="zh-CN"/>
        </w:rPr>
        <w:t>2018年度政府采购金额43.6万元，通过政府集中采购，购置户外电子液晶显示屏3台，分别安放在县政府广场西侧、东湖开元门处和党建服务中心外，花费43.6万元。</w:t>
      </w:r>
    </w:p>
    <w:p>
      <w:pPr>
        <w:numPr>
          <w:ilvl w:val="0"/>
          <w:numId w:val="2"/>
        </w:numPr>
        <w:snapToGrid/>
        <w:spacing w:before="0" w:beforeAutospacing="0" w:after="0" w:afterAutospacing="0" w:line="240" w:lineRule="auto"/>
        <w:ind w:left="0" w:leftChars="0" w:firstLine="640" w:firstLineChars="200"/>
        <w:jc w:val="both"/>
        <w:textAlignment w:val="baseline"/>
        <w:rPr>
          <w:rFonts w:hint="eastAsia" w:ascii="Times New Roman" w:hAnsi="Times New Roman" w:eastAsia="楷体"/>
          <w:b w:val="0"/>
          <w:bCs/>
          <w:i w:val="0"/>
          <w:caps w:val="0"/>
          <w:spacing w:val="0"/>
          <w:w w:val="100"/>
          <w:sz w:val="32"/>
          <w:szCs w:val="32"/>
        </w:rPr>
      </w:pPr>
      <w:r>
        <w:rPr>
          <w:rFonts w:hint="eastAsia" w:ascii="Times New Roman" w:hAnsi="Times New Roman" w:eastAsia="楷体"/>
          <w:b w:val="0"/>
          <w:bCs/>
          <w:i w:val="0"/>
          <w:caps w:val="0"/>
          <w:spacing w:val="0"/>
          <w:w w:val="100"/>
          <w:sz w:val="32"/>
          <w:szCs w:val="32"/>
        </w:rPr>
        <w:t>机关运行经费</w:t>
      </w:r>
      <w:r>
        <w:rPr>
          <w:rFonts w:hint="eastAsia" w:ascii="Times New Roman" w:hAnsi="Times New Roman" w:eastAsia="楷体"/>
          <w:b w:val="0"/>
          <w:bCs/>
          <w:i w:val="0"/>
          <w:caps w:val="0"/>
          <w:spacing w:val="0"/>
          <w:w w:val="100"/>
          <w:sz w:val="32"/>
          <w:szCs w:val="32"/>
          <w:lang w:eastAsia="zh-CN"/>
        </w:rPr>
        <w:t>执行</w:t>
      </w:r>
      <w:r>
        <w:rPr>
          <w:rFonts w:hint="eastAsia" w:ascii="Times New Roman" w:hAnsi="Times New Roman" w:eastAsia="楷体"/>
          <w:b w:val="0"/>
          <w:bCs/>
          <w:i w:val="0"/>
          <w:caps w:val="0"/>
          <w:spacing w:val="0"/>
          <w:w w:val="100"/>
          <w:sz w:val="32"/>
          <w:szCs w:val="32"/>
        </w:rPr>
        <w:t>情况说明</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cs="仿宋_GB2312"/>
          <w:b w:val="0"/>
          <w:bCs w:val="0"/>
          <w:i w:val="0"/>
          <w:caps w:val="0"/>
          <w:spacing w:val="0"/>
          <w:w w:val="100"/>
          <w:sz w:val="32"/>
          <w:szCs w:val="32"/>
          <w:lang w:val="en-US" w:eastAsia="zh-CN"/>
        </w:rPr>
      </w:pPr>
      <w:r>
        <w:rPr>
          <w:rFonts w:hint="eastAsia" w:ascii="Times New Roman" w:hAnsi="Times New Roman" w:eastAsia="仿宋_GB2312"/>
          <w:b w:val="0"/>
          <w:i w:val="0"/>
          <w:caps w:val="0"/>
          <w:color w:val="000000"/>
          <w:spacing w:val="0"/>
          <w:w w:val="100"/>
          <w:sz w:val="32"/>
          <w:szCs w:val="32"/>
        </w:rPr>
        <w:t>本部门</w:t>
      </w:r>
      <w:r>
        <w:rPr>
          <w:rFonts w:hint="eastAsia" w:ascii="Times New Roman" w:hAnsi="Times New Roman" w:eastAsia="仿宋_GB2312" w:cs="仿宋_GB2312"/>
          <w:b w:val="0"/>
          <w:bCs w:val="0"/>
          <w:i w:val="0"/>
          <w:caps w:val="0"/>
          <w:spacing w:val="0"/>
          <w:w w:val="100"/>
          <w:sz w:val="32"/>
          <w:szCs w:val="32"/>
          <w:lang w:val="en-US" w:eastAsia="zh-CN"/>
        </w:rPr>
        <w:t>2018年度机关运行经费127496.8元，其中办公费14333.8元，邮电费400元，差旅费1770元，维修（护）费300元，委托业务费1700元，工会经费6033元，福利费4432元，其他交通费用98528元。</w:t>
      </w:r>
    </w:p>
    <w:p>
      <w:pPr>
        <w:snapToGrid/>
        <w:spacing w:before="0" w:beforeAutospacing="0" w:after="0" w:afterAutospacing="0" w:line="240" w:lineRule="auto"/>
        <w:ind w:firstLine="640" w:firstLineChars="200"/>
        <w:jc w:val="both"/>
        <w:textAlignment w:val="baseline"/>
        <w:rPr>
          <w:rFonts w:hint="default" w:ascii="Times New Roman" w:hAnsi="Times New Roman" w:eastAsia="楷体"/>
          <w:b/>
          <w:i w:val="0"/>
          <w:caps w:val="0"/>
          <w:color w:val="FF0000"/>
          <w:spacing w:val="0"/>
          <w:w w:val="100"/>
          <w:sz w:val="32"/>
          <w:szCs w:val="32"/>
          <w:lang w:val="en-US" w:eastAsia="zh-CN"/>
        </w:rPr>
      </w:pPr>
      <w:r>
        <w:rPr>
          <w:rStyle w:val="8"/>
          <w:rFonts w:hint="eastAsia" w:ascii="Times New Roman" w:hAnsi="Times New Roman" w:eastAsia="楷体" w:cs="宋体"/>
          <w:b w:val="0"/>
          <w:bCs/>
          <w:i w:val="0"/>
          <w:caps w:val="0"/>
          <w:color w:val="333333"/>
          <w:spacing w:val="0"/>
          <w:w w:val="100"/>
          <w:sz w:val="32"/>
          <w:szCs w:val="32"/>
        </w:rPr>
        <w:t>八、国有资产占用情况说明</w:t>
      </w:r>
    </w:p>
    <w:p>
      <w:pPr>
        <w:pStyle w:val="5"/>
        <w:widowControl/>
        <w:snapToGrid/>
        <w:spacing w:before="0" w:beforeAutospacing="0" w:after="0" w:afterAutospacing="0" w:line="30" w:lineRule="atLeast"/>
        <w:ind w:firstLine="640"/>
        <w:jc w:val="left"/>
        <w:textAlignment w:val="baseline"/>
        <w:rPr>
          <w:rFonts w:hint="eastAsia" w:ascii="Times New Roman" w:hAnsi="Times New Roman" w:eastAsia="仿宋_GB2312" w:cs="仿宋_GB2312"/>
          <w:b w:val="0"/>
          <w:bCs w:val="0"/>
          <w:i w:val="0"/>
          <w:caps w:val="0"/>
          <w:spacing w:val="0"/>
          <w:w w:val="100"/>
          <w:kern w:val="2"/>
          <w:sz w:val="32"/>
          <w:szCs w:val="32"/>
          <w:lang w:val="en-US" w:eastAsia="zh-CN" w:bidi="ar-SA"/>
        </w:rPr>
      </w:pPr>
      <w:r>
        <w:rPr>
          <w:rFonts w:hint="eastAsia" w:ascii="Times New Roman" w:hAnsi="Times New Roman" w:eastAsia="仿宋_GB2312" w:cs="仿宋_GB2312"/>
          <w:b w:val="0"/>
          <w:bCs w:val="0"/>
          <w:i w:val="0"/>
          <w:caps w:val="0"/>
          <w:spacing w:val="0"/>
          <w:w w:val="100"/>
          <w:kern w:val="2"/>
          <w:sz w:val="32"/>
          <w:szCs w:val="32"/>
          <w:lang w:val="en-US" w:eastAsia="zh-CN" w:bidi="ar-SA"/>
        </w:rPr>
        <w:t>本部门共有车辆数合计3辆。我中心已进行公车改革，原有车辆交回县机关事务管理局公车平台统一使用；单价50万元以上通用设备0台/套，共计0元；单价100万元以上专用设备0台/套，0元。</w:t>
      </w:r>
    </w:p>
    <w:p>
      <w:pPr>
        <w:snapToGrid/>
        <w:spacing w:before="0" w:beforeAutospacing="0" w:after="0" w:afterAutospacing="0" w:line="240" w:lineRule="auto"/>
        <w:ind w:firstLine="640" w:firstLineChars="200"/>
        <w:jc w:val="both"/>
        <w:textAlignment w:val="baseline"/>
        <w:rPr>
          <w:rStyle w:val="8"/>
          <w:rFonts w:hint="eastAsia" w:ascii="Times New Roman" w:hAnsi="Times New Roman" w:eastAsia="楷体" w:cs="宋体"/>
          <w:b w:val="0"/>
          <w:bCs/>
          <w:i w:val="0"/>
          <w:caps w:val="0"/>
          <w:color w:val="333333"/>
          <w:spacing w:val="0"/>
          <w:w w:val="100"/>
          <w:kern w:val="0"/>
          <w:sz w:val="32"/>
          <w:szCs w:val="32"/>
          <w:lang w:val="en-US" w:eastAsia="zh-CN" w:bidi="ar-SA"/>
        </w:rPr>
      </w:pPr>
      <w:r>
        <w:rPr>
          <w:rStyle w:val="8"/>
          <w:rFonts w:hint="eastAsia" w:ascii="Times New Roman" w:hAnsi="Times New Roman" w:eastAsia="楷体" w:cs="宋体"/>
          <w:b w:val="0"/>
          <w:bCs/>
          <w:i w:val="0"/>
          <w:caps w:val="0"/>
          <w:color w:val="333333"/>
          <w:spacing w:val="0"/>
          <w:w w:val="100"/>
          <w:kern w:val="0"/>
          <w:sz w:val="32"/>
          <w:szCs w:val="32"/>
          <w:lang w:val="en-US" w:eastAsia="zh-CN" w:bidi="ar-SA"/>
        </w:rPr>
        <w:t>九、重点绩效评价结果等预算绩效情况说明</w:t>
      </w:r>
    </w:p>
    <w:p>
      <w:pPr>
        <w:pStyle w:val="5"/>
        <w:widowControl/>
        <w:snapToGrid/>
        <w:spacing w:before="0" w:beforeAutospacing="0" w:after="0" w:afterAutospacing="0" w:line="30" w:lineRule="atLeast"/>
        <w:ind w:firstLine="640"/>
        <w:jc w:val="left"/>
        <w:textAlignment w:val="baseline"/>
        <w:rPr>
          <w:rFonts w:hint="eastAsia" w:ascii="Times New Roman" w:hAnsi="Times New Roman" w:eastAsia="仿宋_GB2312" w:cs="仿宋_GB2312"/>
          <w:b w:val="0"/>
          <w:bCs w:val="0"/>
          <w:i w:val="0"/>
          <w:caps w:val="0"/>
          <w:spacing w:val="0"/>
          <w:w w:val="100"/>
          <w:kern w:val="2"/>
          <w:sz w:val="32"/>
          <w:szCs w:val="32"/>
          <w:lang w:val="en-US" w:eastAsia="zh-CN" w:bidi="ar-SA"/>
        </w:rPr>
      </w:pPr>
      <w:r>
        <w:rPr>
          <w:rFonts w:hint="eastAsia" w:ascii="Times New Roman" w:hAnsi="Times New Roman" w:eastAsia="仿宋_GB2312" w:cs="仿宋_GB2312"/>
          <w:b w:val="0"/>
          <w:bCs w:val="0"/>
          <w:i w:val="0"/>
          <w:caps w:val="0"/>
          <w:spacing w:val="0"/>
          <w:w w:val="100"/>
          <w:kern w:val="2"/>
          <w:sz w:val="32"/>
          <w:szCs w:val="32"/>
          <w:lang w:val="en-US" w:eastAsia="zh-CN" w:bidi="ar-SA"/>
        </w:rPr>
        <w:t>本部门本年度不涉及预算绩效项目。</w:t>
      </w:r>
    </w:p>
    <w:p>
      <w:pPr>
        <w:snapToGrid/>
        <w:spacing w:before="0" w:beforeAutospacing="0" w:after="0" w:afterAutospacing="0" w:line="240" w:lineRule="auto"/>
        <w:ind w:firstLine="640" w:firstLineChars="200"/>
        <w:jc w:val="both"/>
        <w:textAlignment w:val="baseline"/>
        <w:rPr>
          <w:rFonts w:ascii="Times New Roman" w:hAnsi="Times New Roman" w:eastAsia="黑体"/>
          <w:b w:val="0"/>
          <w:i w:val="0"/>
          <w:caps w:val="0"/>
          <w:spacing w:val="0"/>
          <w:w w:val="100"/>
          <w:sz w:val="32"/>
          <w:szCs w:val="32"/>
        </w:rPr>
      </w:pPr>
      <w:r>
        <w:rPr>
          <w:rFonts w:hint="eastAsia" w:ascii="Times New Roman" w:hAnsi="Times New Roman" w:eastAsia="黑体"/>
          <w:b w:val="0"/>
          <w:i w:val="0"/>
          <w:caps w:val="0"/>
          <w:spacing w:val="0"/>
          <w:w w:val="100"/>
          <w:sz w:val="32"/>
          <w:szCs w:val="32"/>
        </w:rPr>
        <w:t>第四部分  名词解释</w:t>
      </w:r>
      <w:bookmarkStart w:id="0" w:name="_GoBack"/>
      <w:bookmarkEnd w:id="0"/>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一、财政拨款收入：指单位本年度从本级财政部门取得的财政拨款，包括一般公共预算财政拨款和政府性基金预算财政拨款。</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二、上级补助收入：指事业单位从主管部门和上级单位取得的非财政补助收入。</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三、事业收入：指事业单位开展专业业务活动及其辅助活动取得的收入；事业单位收到的财政专户实际核拨的教育收费等资金在此反映。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四、经营收入：指事业单位在专业业务活动及其辅助活动之外开展非独立核算经营活动取得的收入。</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五、附属单位缴款：指事业单位附属独立核算单位按照有关规定上缴的收入。</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六、其他收入：指单位取得的除上述“财政拨款收入”、“事业收入”、“经营收入”、“附属单位缴款”等以外的各项收入。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七、用事业基金弥补收支差额：指事业单位用事业基金弥补当年收支差额的数额。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八、年初结转和结余：指单位上年结转本年使用的基本支出结转、项目支出结转和结余和经营结余。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九、结余分配：指事业单位按规定对非财政补助结余资金提取的职工福利基金、事业基金和缴纳的所得税，以及减少单位按规定应缴回的基本建设竣工项目结余资金。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十、年末结转和结余资金：指单位结转下年的基本支出结转、项目支出结转和结余和经营结余。</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十一、基本支出：指为保障机构正常运转、完成日常工作任务而发生的人员支出和公用支出。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十二、项目支出：指在基本支出之外为完成特定的行政任务或事业发展目标所发生的支出。 </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十三、上缴上级支出：指事业单位按照财政部门和主管部门的规定上缴上级单位的支出。</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十四、经营支出：指事业单位在专业业务活动及其辅助活动之外开展非独立核算经营活动发生的支出。</w:t>
      </w:r>
    </w:p>
    <w:p>
      <w:pPr>
        <w:snapToGrid/>
        <w:spacing w:before="0" w:beforeAutospacing="0" w:after="0" w:afterAutospacing="0" w:line="240" w:lineRule="auto"/>
        <w:ind w:firstLine="640" w:firstLineChars="200"/>
        <w:jc w:val="both"/>
        <w:textAlignment w:val="baseline"/>
        <w:rPr>
          <w:rFonts w:hint="eastAsia"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十五、对附属单位补助支出：指事业单位用财政补助收入之外的收入对附属单位补助发生的支出。</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snapToGrid/>
        <w:spacing w:before="0" w:beforeAutospacing="0" w:after="0" w:afterAutospacing="0" w:line="240" w:lineRule="auto"/>
        <w:ind w:firstLine="640" w:firstLineChars="200"/>
        <w:jc w:val="both"/>
        <w:textAlignment w:val="baseline"/>
        <w:rPr>
          <w:rFonts w:ascii="Times New Roman" w:hAnsi="Times New Roman" w:eastAsia="仿宋_GB2312"/>
          <w:b w:val="0"/>
          <w:i w:val="0"/>
          <w:caps w:val="0"/>
          <w:spacing w:val="0"/>
          <w:w w:val="100"/>
          <w:sz w:val="32"/>
          <w:szCs w:val="32"/>
        </w:rPr>
      </w:pPr>
      <w:r>
        <w:rPr>
          <w:rFonts w:hint="eastAsia" w:ascii="Times New Roman" w:hAnsi="Times New Roman" w:eastAsia="仿宋_GB2312"/>
          <w:b w:val="0"/>
          <w:i w:val="0"/>
          <w:caps w:val="0"/>
          <w:spacing w:val="0"/>
          <w:w w:val="100"/>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p>
      <w:pPr>
        <w:snapToGrid/>
        <w:spacing w:before="0" w:beforeAutospacing="0" w:after="0" w:afterAutospacing="0" w:line="240" w:lineRule="auto"/>
        <w:ind w:firstLine="640" w:firstLineChars="200"/>
        <w:jc w:val="both"/>
        <w:textAlignment w:val="baseline"/>
        <w:rPr>
          <w:rFonts w:ascii="Times New Roman" w:hAnsi="Times New Roman"/>
          <w:b w:val="0"/>
          <w:i w:val="0"/>
          <w:caps w:val="0"/>
          <w:spacing w:val="0"/>
          <w:w w:val="100"/>
          <w:sz w:val="32"/>
          <w:szCs w:val="32"/>
        </w:rPr>
      </w:pPr>
      <w:r>
        <w:rPr>
          <w:rFonts w:hint="eastAsia" w:ascii="Times New Roman" w:hAnsi="Times New Roman"/>
          <w:b w:val="0"/>
          <w:i w:val="0"/>
          <w:caps w:val="0"/>
          <w:spacing w:val="0"/>
          <w:w w:val="100"/>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24C862"/>
    <w:multiLevelType w:val="singleLevel"/>
    <w:tmpl w:val="DC24C862"/>
    <w:lvl w:ilvl="0" w:tentative="0">
      <w:start w:val="6"/>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9C3C77"/>
    <w:rsid w:val="01DA336E"/>
    <w:rsid w:val="05E42E29"/>
    <w:rsid w:val="0C5A5250"/>
    <w:rsid w:val="0C64513E"/>
    <w:rsid w:val="0CAE1D1A"/>
    <w:rsid w:val="0D8C533D"/>
    <w:rsid w:val="0DE649EC"/>
    <w:rsid w:val="0E06213A"/>
    <w:rsid w:val="0EE25EB1"/>
    <w:rsid w:val="10CB3E8D"/>
    <w:rsid w:val="14E87F97"/>
    <w:rsid w:val="1B4A6025"/>
    <w:rsid w:val="1E107510"/>
    <w:rsid w:val="1FB91219"/>
    <w:rsid w:val="209E0EC3"/>
    <w:rsid w:val="22140CC1"/>
    <w:rsid w:val="2A937DAC"/>
    <w:rsid w:val="2DB60033"/>
    <w:rsid w:val="2F754CA8"/>
    <w:rsid w:val="341824CB"/>
    <w:rsid w:val="343F3937"/>
    <w:rsid w:val="34D53928"/>
    <w:rsid w:val="37015ED3"/>
    <w:rsid w:val="3F5C42DA"/>
    <w:rsid w:val="43E475B8"/>
    <w:rsid w:val="458B37F5"/>
    <w:rsid w:val="48832669"/>
    <w:rsid w:val="48E87EB6"/>
    <w:rsid w:val="4A4F3891"/>
    <w:rsid w:val="4D9B3CEE"/>
    <w:rsid w:val="4F5D5C57"/>
    <w:rsid w:val="522A19A2"/>
    <w:rsid w:val="52567629"/>
    <w:rsid w:val="53A809F7"/>
    <w:rsid w:val="582B68F4"/>
    <w:rsid w:val="58A9217B"/>
    <w:rsid w:val="5D083F24"/>
    <w:rsid w:val="60860A87"/>
    <w:rsid w:val="60B46440"/>
    <w:rsid w:val="635C762A"/>
    <w:rsid w:val="68F962B1"/>
    <w:rsid w:val="71FC58C7"/>
    <w:rsid w:val="7C7014AB"/>
    <w:rsid w:val="7CD6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1</TotalTime>
  <ScaleCrop>false</ScaleCrop>
  <LinksUpToDate>false</LinksUpToDate>
  <CharactersWithSpaces>3878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2021-06-07T01:55:55Z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CE3A8B4B60E946F1B15F203440360C22</vt:lpwstr>
  </property>
</Properties>
</file>