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heme="minorEastAsia"/>
          <w:sz w:val="24"/>
        </w:rPr>
      </w:pPr>
      <w:r>
        <w:rPr>
          <w:rFonts w:hint="eastAsia" w:ascii="黑体" w:hAnsi="黑体" w:eastAsia="黑体" w:cstheme="minorEastAsia"/>
          <w:sz w:val="24"/>
        </w:rPr>
        <w:t>附件1：</w:t>
      </w:r>
      <w:r>
        <w:rPr>
          <w:rFonts w:ascii="黑体" w:hAnsi="黑体" w:eastAsia="黑体" w:cstheme="minorEastAsia"/>
          <w:sz w:val="24"/>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rPr>
          <w:rFonts w:ascii="黑体" w:hAnsi="黑体" w:eastAsia="黑体" w:cstheme="minorEastAsia"/>
          <w:sz w:val="52"/>
          <w:szCs w:val="52"/>
        </w:rPr>
      </w:pPr>
    </w:p>
    <w:p>
      <w:pPr>
        <w:jc w:val="center"/>
        <w:rPr>
          <w:rFonts w:hint="eastAsia" w:ascii="黑体" w:hAnsi="黑体" w:eastAsia="黑体" w:cstheme="minorEastAsia"/>
          <w:sz w:val="52"/>
          <w:szCs w:val="52"/>
          <w:lang w:eastAsia="zh-CN"/>
        </w:rPr>
      </w:pPr>
      <w:bookmarkStart w:id="0" w:name="_GoBack"/>
      <w:r>
        <w:rPr>
          <w:rFonts w:hint="eastAsia" w:ascii="黑体" w:hAnsi="黑体" w:eastAsia="黑体" w:cstheme="minorEastAsia"/>
          <w:sz w:val="52"/>
          <w:szCs w:val="52"/>
        </w:rPr>
        <w:t>襄垣县</w:t>
      </w:r>
      <w:r>
        <w:rPr>
          <w:rFonts w:hint="eastAsia" w:ascii="黑体" w:hAnsi="黑体" w:eastAsia="黑体" w:cstheme="minorEastAsia"/>
          <w:sz w:val="52"/>
          <w:szCs w:val="52"/>
          <w:lang w:eastAsia="zh-CN"/>
        </w:rPr>
        <w:t>文学艺术工作者联合会</w:t>
      </w:r>
    </w:p>
    <w:p>
      <w:pPr>
        <w:ind w:firstLine="1040" w:firstLineChars="200"/>
        <w:rPr>
          <w:rFonts w:ascii="黑体" w:hAnsi="黑体" w:eastAsia="黑体" w:cstheme="minorEastAsia"/>
          <w:sz w:val="52"/>
          <w:szCs w:val="52"/>
        </w:rPr>
      </w:pPr>
      <w:r>
        <w:rPr>
          <w:rFonts w:hint="eastAsia" w:ascii="黑体" w:hAnsi="黑体" w:eastAsia="黑体" w:cstheme="minorEastAsia"/>
          <w:sz w:val="52"/>
          <w:szCs w:val="52"/>
        </w:rPr>
        <w:t>2018年度部门决算公开说明</w:t>
      </w:r>
    </w:p>
    <w:bookmarkEnd w:id="0"/>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2880" w:firstLineChars="900"/>
        <w:rPr>
          <w:rFonts w:ascii="黑体" w:hAnsi="黑体" w:eastAsia="黑体" w:cstheme="minorEastAsia"/>
          <w:sz w:val="32"/>
          <w:szCs w:val="32"/>
        </w:rPr>
      </w:pPr>
      <w:r>
        <w:rPr>
          <w:rFonts w:hint="eastAsia" w:ascii="黑体" w:hAnsi="黑体" w:eastAsia="黑体" w:cstheme="minorEastAsia"/>
          <w:sz w:val="32"/>
          <w:szCs w:val="32"/>
        </w:rPr>
        <w:t>2019年9月12日</w:t>
      </w:r>
    </w:p>
    <w:p>
      <w:pPr>
        <w:ind w:firstLine="640" w:firstLineChars="200"/>
        <w:jc w:val="center"/>
        <w:rPr>
          <w:rFonts w:asciiTheme="minorEastAsia" w:hAnsiTheme="minorEastAsia" w:cstheme="minorEastAsia"/>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ind w:firstLine="640" w:firstLineChars="200"/>
        <w:jc w:val="center"/>
        <w:rPr>
          <w:rFonts w:asciiTheme="minorEastAsia" w:hAnsiTheme="minorEastAsia" w:cstheme="minorEastAsia"/>
          <w:sz w:val="32"/>
          <w:szCs w:val="32"/>
        </w:rPr>
      </w:pPr>
    </w:p>
    <w:p>
      <w:pPr>
        <w:spacing w:beforeLines="50" w:afterLines="100"/>
        <w:ind w:firstLine="880" w:firstLineChars="200"/>
        <w:jc w:val="center"/>
        <w:rPr>
          <w:rFonts w:ascii="黑体" w:hAnsi="黑体" w:eastAsia="黑体" w:cstheme="minorEastAsia"/>
          <w:sz w:val="44"/>
          <w:szCs w:val="44"/>
        </w:rPr>
      </w:pPr>
      <w:r>
        <w:rPr>
          <w:rFonts w:hint="eastAsia" w:ascii="黑体" w:hAnsi="黑体" w:eastAsia="黑体" w:cstheme="minorEastAsia"/>
          <w:sz w:val="44"/>
          <w:szCs w:val="44"/>
        </w:rPr>
        <w:t>目 录</w:t>
      </w:r>
    </w:p>
    <w:p>
      <w:pPr>
        <w:rPr>
          <w:rFonts w:ascii="黑体" w:hAnsi="黑体" w:eastAsia="黑体" w:cstheme="minorEastAsia"/>
          <w:sz w:val="32"/>
          <w:szCs w:val="32"/>
        </w:rPr>
      </w:pPr>
      <w:r>
        <w:rPr>
          <w:rFonts w:hint="eastAsia" w:ascii="黑体" w:hAnsi="黑体" w:eastAsia="黑体" w:cstheme="minorEastAsia"/>
          <w:sz w:val="32"/>
          <w:szCs w:val="32"/>
        </w:rPr>
        <w:t>第一部分  部门概况</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一、部门主要职责</w:t>
      </w:r>
    </w:p>
    <w:p>
      <w:pPr>
        <w:shd w:val="clear" w:color="auto" w:fill="FFFFFF"/>
        <w:adjustRightInd/>
        <w:snapToGrid/>
        <w:spacing w:after="0" w:line="504" w:lineRule="atLeast"/>
        <w:ind w:firstLine="64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1、坚持“二为”方向和“双百”方针，致力于繁荣和发展襄垣县文学艺术事业。</w:t>
      </w:r>
    </w:p>
    <w:p>
      <w:pPr>
        <w:shd w:val="clear" w:color="auto" w:fill="FFFFFF"/>
        <w:adjustRightInd/>
        <w:snapToGrid/>
        <w:spacing w:after="0" w:line="504" w:lineRule="atLeast"/>
        <w:ind w:firstLine="64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2、对其所属的各团体会员进行联络、协调、服务、指导。</w:t>
      </w:r>
    </w:p>
    <w:p>
      <w:pPr>
        <w:shd w:val="clear" w:color="auto" w:fill="FFFFFF"/>
        <w:adjustRightInd/>
        <w:snapToGrid/>
        <w:spacing w:after="0" w:line="504" w:lineRule="atLeast"/>
        <w:ind w:firstLine="64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3、组织和推动其所属的各团体会员积极开展各项文学艺术活动。</w:t>
      </w:r>
    </w:p>
    <w:p>
      <w:pPr>
        <w:shd w:val="clear" w:color="auto" w:fill="FFFFFF"/>
        <w:adjustRightInd/>
        <w:snapToGrid/>
        <w:spacing w:after="0" w:line="504" w:lineRule="atLeast"/>
        <w:ind w:firstLine="64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4、根据需要和可能，采取切实有效的措施，鼓励和促进广大文艺工作者深入生活、扎根人民，加强艺术实践，交流创作经验，提高艺术修养和艺术水平。</w:t>
      </w:r>
    </w:p>
    <w:p>
      <w:pPr>
        <w:shd w:val="clear" w:color="auto" w:fill="FFFFFF"/>
        <w:adjustRightInd/>
        <w:snapToGrid/>
        <w:spacing w:after="0" w:line="504" w:lineRule="atLeast"/>
        <w:ind w:firstLine="64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5、发现和培养各类文学艺术人才，不断壮大文艺队伍。</w:t>
      </w:r>
    </w:p>
    <w:p>
      <w:pPr>
        <w:shd w:val="clear" w:color="auto" w:fill="FFFFFF"/>
        <w:adjustRightInd/>
        <w:snapToGrid/>
        <w:spacing w:after="0" w:line="504" w:lineRule="atLeast"/>
        <w:ind w:firstLine="64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6、加强对外文学艺术交流。</w:t>
      </w:r>
    </w:p>
    <w:p>
      <w:pPr>
        <w:shd w:val="clear" w:color="auto" w:fill="FFFFFF"/>
        <w:adjustRightInd/>
        <w:snapToGrid/>
        <w:spacing w:after="0" w:line="504" w:lineRule="atLeast"/>
        <w:ind w:firstLine="64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7、承办县委、县政府和上级文联交办的其他事宜。</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二、部门基本情况</w:t>
      </w:r>
    </w:p>
    <w:p>
      <w:pPr>
        <w:shd w:val="clear" w:color="auto" w:fill="FFFFFF"/>
        <w:adjustRightInd/>
        <w:snapToGrid/>
        <w:spacing w:after="0" w:line="504" w:lineRule="atLeast"/>
        <w:ind w:firstLine="64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根据上述职责，县文学艺术界联合会设3个内设机构：</w:t>
      </w:r>
    </w:p>
    <w:p>
      <w:pPr>
        <w:shd w:val="clear" w:color="auto" w:fill="FFFFFF"/>
        <w:adjustRightInd/>
        <w:snapToGrid/>
        <w:spacing w:after="0" w:line="504" w:lineRule="atLeast"/>
        <w:ind w:firstLine="64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（一）综合办公室（编制2名）</w:t>
      </w:r>
    </w:p>
    <w:p>
      <w:pPr>
        <w:shd w:val="clear" w:color="auto" w:fill="FFFFFF"/>
        <w:adjustRightInd/>
        <w:snapToGrid/>
        <w:spacing w:after="0" w:line="504" w:lineRule="atLeast"/>
        <w:ind w:firstLine="64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负责本单位日常工作：上传下达、左右协调、会议组织、档案管理、文秘信息、图书资料、财务、后勤服务等工作及上级交办的其他工作。</w:t>
      </w:r>
    </w:p>
    <w:p>
      <w:pPr>
        <w:shd w:val="clear" w:color="auto" w:fill="FFFFFF"/>
        <w:adjustRightInd/>
        <w:snapToGrid/>
        <w:spacing w:after="0" w:line="504" w:lineRule="atLeast"/>
        <w:ind w:firstLine="64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（二）编辑部（编制2名）</w:t>
      </w:r>
    </w:p>
    <w:p>
      <w:pPr>
        <w:shd w:val="clear" w:color="auto" w:fill="FFFFFF"/>
        <w:adjustRightInd/>
        <w:snapToGrid/>
        <w:spacing w:after="0" w:line="504" w:lineRule="atLeast"/>
        <w:ind w:firstLine="64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负责县委机关刊物《香园》的编辑出版。</w:t>
      </w:r>
    </w:p>
    <w:p>
      <w:pPr>
        <w:shd w:val="clear" w:color="auto" w:fill="FFFFFF"/>
        <w:adjustRightInd/>
        <w:snapToGrid/>
        <w:spacing w:after="0" w:line="504" w:lineRule="atLeast"/>
        <w:ind w:firstLine="64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（三）组联部（编制1名）</w:t>
      </w:r>
    </w:p>
    <w:p>
      <w:pPr>
        <w:shd w:val="clear" w:color="auto" w:fill="FFFFFF"/>
        <w:adjustRightInd/>
        <w:snapToGrid/>
        <w:spacing w:after="0" w:line="504" w:lineRule="atLeast"/>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负责联系上级文联及其他县文联相关事宜，开展对各文艺家协会的联络、协调、服务工作。</w:t>
      </w:r>
    </w:p>
    <w:p>
      <w:pPr>
        <w:ind w:firstLine="645"/>
        <w:rPr>
          <w:rFonts w:ascii="仿宋_GB2312" w:hAnsi="仿宋" w:eastAsia="仿宋_GB2312" w:cs="宋体"/>
          <w:kern w:val="0"/>
          <w:sz w:val="32"/>
          <w:szCs w:val="32"/>
        </w:rPr>
      </w:pPr>
      <w:r>
        <w:rPr>
          <w:rFonts w:hint="eastAsia" w:ascii="仿宋" w:hAnsi="仿宋" w:eastAsia="仿宋" w:cs="仿宋_GB2312"/>
          <w:sz w:val="32"/>
          <w:szCs w:val="32"/>
        </w:rPr>
        <w:t>（三）</w:t>
      </w:r>
      <w:r>
        <w:rPr>
          <w:rFonts w:hint="eastAsia" w:ascii="仿宋_GB2312" w:hAnsi="仿宋" w:eastAsia="仿宋_GB2312" w:cstheme="minorEastAsia"/>
          <w:sz w:val="32"/>
          <w:szCs w:val="32"/>
        </w:rPr>
        <w:t>本套部门决算汇编范围的单位共1个，包括：</w:t>
      </w:r>
      <w:r>
        <w:rPr>
          <w:rFonts w:hint="eastAsia" w:ascii="仿宋_GB2312" w:eastAsia="仿宋_GB2312"/>
          <w:sz w:val="32"/>
          <w:szCs w:val="32"/>
        </w:rPr>
        <w:t>襄垣县</w:t>
      </w:r>
      <w:r>
        <w:rPr>
          <w:rFonts w:hint="eastAsia" w:ascii="仿宋_GB2312" w:eastAsia="仿宋_GB2312"/>
          <w:sz w:val="32"/>
          <w:szCs w:val="32"/>
          <w:lang w:eastAsia="zh-CN"/>
        </w:rPr>
        <w:t>文学艺术界联合会</w:t>
      </w:r>
      <w:r>
        <w:rPr>
          <w:rFonts w:hint="eastAsia" w:ascii="仿宋_GB2312" w:eastAsia="仿宋_GB2312"/>
          <w:sz w:val="32"/>
          <w:szCs w:val="32"/>
        </w:rPr>
        <w:t>。</w:t>
      </w:r>
    </w:p>
    <w:p>
      <w:pPr>
        <w:rPr>
          <w:rFonts w:ascii="黑体" w:hAnsi="黑体" w:eastAsia="黑体" w:cstheme="minorEastAsia"/>
          <w:sz w:val="32"/>
          <w:szCs w:val="32"/>
        </w:rPr>
      </w:pPr>
      <w:r>
        <w:rPr>
          <w:rFonts w:hint="eastAsia" w:ascii="黑体" w:hAnsi="黑体" w:eastAsia="黑体" w:cstheme="minorEastAsia"/>
          <w:sz w:val="32"/>
          <w:szCs w:val="32"/>
        </w:rPr>
        <w:t>第二部分  2018年度部门决算公开表（详见表）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一、收入支出决算总表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二、收入决算表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四、财政拨款收入支出决算总表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五、一般公共预算财政拨款支出决算表（一）</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六、一般公共预算财政拨款支出决算表（二）</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七、一般公共预算财政拨款“三公”经费支出决算表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八、政府性基金预算财政拨款收入支出决算表</w:t>
      </w:r>
    </w:p>
    <w:p>
      <w:pPr>
        <w:ind w:firstLine="63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九、部门决算公开相关信息统计表</w:t>
      </w:r>
    </w:p>
    <w:p>
      <w:pPr>
        <w:rPr>
          <w:rFonts w:ascii="黑体" w:hAnsi="黑体" w:eastAsia="黑体" w:cstheme="minorEastAsia"/>
          <w:sz w:val="32"/>
          <w:szCs w:val="32"/>
        </w:rPr>
      </w:pPr>
      <w:r>
        <w:rPr>
          <w:rFonts w:hint="eastAsia" w:ascii="黑体" w:hAnsi="黑体" w:eastAsia="黑体" w:cstheme="minorEastAsia"/>
          <w:sz w:val="32"/>
          <w:szCs w:val="32"/>
        </w:rPr>
        <w:t>第三部分  2018年度部门决算情况说明</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一、收入决算情况说明</w:t>
      </w:r>
    </w:p>
    <w:p>
      <w:pPr>
        <w:ind w:firstLine="640" w:firstLineChars="200"/>
        <w:rPr>
          <w:rFonts w:ascii="仿宋" w:hAnsi="仿宋" w:eastAsia="仿宋"/>
          <w:sz w:val="32"/>
          <w:szCs w:val="32"/>
        </w:rPr>
      </w:pPr>
      <w:r>
        <w:rPr>
          <w:rFonts w:hint="eastAsia" w:ascii="仿宋_GB2312" w:hAnsi="仿宋" w:eastAsia="仿宋_GB2312" w:cs="仿宋"/>
          <w:sz w:val="32"/>
          <w:szCs w:val="32"/>
        </w:rPr>
        <w:t>本部门2018年度收入总计</w:t>
      </w:r>
      <w:r>
        <w:rPr>
          <w:rFonts w:hint="eastAsia" w:ascii="仿宋_GB2312" w:hAnsi="仿宋" w:eastAsia="仿宋_GB2312" w:cs="仿宋"/>
          <w:sz w:val="32"/>
          <w:szCs w:val="32"/>
          <w:lang w:val="en-US" w:eastAsia="zh-CN"/>
        </w:rPr>
        <w:t>78.91</w:t>
      </w:r>
      <w:r>
        <w:rPr>
          <w:rFonts w:hint="eastAsia" w:ascii="仿宋_GB2312" w:hAnsi="仿宋" w:eastAsia="仿宋_GB2312" w:cs="仿宋"/>
          <w:sz w:val="32"/>
          <w:szCs w:val="32"/>
        </w:rPr>
        <w:t>万元，其中年初结转和结余</w:t>
      </w:r>
      <w:r>
        <w:rPr>
          <w:rFonts w:hint="eastAsia" w:ascii="仿宋_GB2312" w:hAnsi="仿宋" w:eastAsia="仿宋_GB2312" w:cs="仿宋"/>
          <w:sz w:val="32"/>
          <w:szCs w:val="32"/>
          <w:lang w:val="en-US" w:eastAsia="zh-CN"/>
        </w:rPr>
        <w:t>0.24</w:t>
      </w:r>
      <w:r>
        <w:rPr>
          <w:rFonts w:hint="eastAsia" w:ascii="仿宋_GB2312" w:hAnsi="仿宋" w:eastAsia="仿宋_GB2312" w:cs="仿宋"/>
          <w:sz w:val="32"/>
          <w:szCs w:val="32"/>
        </w:rPr>
        <w:t>万元，较2017年</w:t>
      </w:r>
      <w:r>
        <w:rPr>
          <w:rFonts w:hint="eastAsia" w:ascii="仿宋_GB2312" w:hAnsi="仿宋" w:eastAsia="仿宋_GB2312" w:cs="仿宋"/>
          <w:sz w:val="32"/>
          <w:szCs w:val="32"/>
          <w:lang w:eastAsia="zh-CN"/>
        </w:rPr>
        <w:t>增加</w:t>
      </w:r>
      <w:r>
        <w:rPr>
          <w:rFonts w:hint="eastAsia" w:ascii="仿宋_GB2312" w:hAnsi="仿宋" w:eastAsia="仿宋_GB2312" w:cs="仿宋"/>
          <w:sz w:val="32"/>
          <w:szCs w:val="32"/>
          <w:lang w:val="en-US" w:eastAsia="zh-CN"/>
        </w:rPr>
        <w:t>1.97</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增加</w:t>
      </w:r>
      <w:r>
        <w:rPr>
          <w:rFonts w:hint="eastAsia" w:ascii="仿宋_GB2312" w:hAnsi="仿宋" w:eastAsia="仿宋_GB2312" w:cs="仿宋"/>
          <w:sz w:val="32"/>
          <w:szCs w:val="32"/>
          <w:lang w:val="en-US" w:eastAsia="zh-CN"/>
        </w:rPr>
        <w:t>2.56</w:t>
      </w:r>
      <w:r>
        <w:rPr>
          <w:rFonts w:hint="eastAsia" w:ascii="仿宋_GB2312" w:hAnsi="仿宋" w:eastAsia="仿宋_GB2312" w:cs="仿宋"/>
          <w:sz w:val="32"/>
          <w:szCs w:val="32"/>
        </w:rPr>
        <w:t>%；本年收入合计</w:t>
      </w:r>
      <w:r>
        <w:rPr>
          <w:rFonts w:hint="eastAsia" w:ascii="仿宋_GB2312" w:hAnsi="仿宋" w:eastAsia="仿宋_GB2312" w:cs="仿宋"/>
          <w:sz w:val="32"/>
          <w:szCs w:val="32"/>
          <w:lang w:val="en-US" w:eastAsia="zh-CN"/>
        </w:rPr>
        <w:t>78.67</w:t>
      </w:r>
      <w:r>
        <w:rPr>
          <w:rFonts w:hint="eastAsia" w:ascii="仿宋_GB2312" w:hAnsi="仿宋" w:eastAsia="仿宋_GB2312" w:cs="仿宋"/>
          <w:sz w:val="32"/>
          <w:szCs w:val="32"/>
        </w:rPr>
        <w:t>万元，较2017年增加</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rPr>
        <w:t>万元，增长</w:t>
      </w:r>
      <w:r>
        <w:rPr>
          <w:rFonts w:hint="eastAsia" w:ascii="仿宋_GB2312" w:hAnsi="仿宋" w:eastAsia="仿宋_GB2312" w:cs="仿宋"/>
          <w:sz w:val="32"/>
          <w:szCs w:val="32"/>
          <w:lang w:val="en-US" w:eastAsia="zh-CN"/>
        </w:rPr>
        <w:t>2.8</w:t>
      </w:r>
      <w:r>
        <w:rPr>
          <w:rFonts w:hint="eastAsia" w:ascii="仿宋_GB2312" w:hAnsi="仿宋" w:eastAsia="仿宋_GB2312" w:cs="仿宋"/>
          <w:sz w:val="32"/>
          <w:szCs w:val="32"/>
        </w:rPr>
        <w:t>%，主要原因是：</w:t>
      </w:r>
      <w:r>
        <w:rPr>
          <w:rFonts w:hint="eastAsia" w:ascii="仿宋" w:hAnsi="仿宋" w:eastAsia="仿宋"/>
          <w:sz w:val="32"/>
          <w:szCs w:val="32"/>
          <w:lang w:eastAsia="zh-CN"/>
        </w:rPr>
        <w:t>群团活动</w:t>
      </w:r>
      <w:r>
        <w:rPr>
          <w:rFonts w:hint="eastAsia" w:ascii="仿宋" w:hAnsi="仿宋" w:eastAsia="仿宋"/>
          <w:sz w:val="32"/>
          <w:szCs w:val="32"/>
        </w:rPr>
        <w:t>增加。</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本年收入的具体构成为：财政拨款收入</w:t>
      </w:r>
      <w:r>
        <w:rPr>
          <w:rFonts w:hint="eastAsia" w:ascii="仿宋_GB2312" w:hAnsi="仿宋" w:eastAsia="仿宋_GB2312" w:cs="仿宋"/>
          <w:sz w:val="32"/>
          <w:szCs w:val="32"/>
          <w:lang w:val="en-US" w:eastAsia="zh-CN"/>
        </w:rPr>
        <w:t>78.</w:t>
      </w:r>
      <w:r>
        <w:rPr>
          <w:rFonts w:hint="eastAsia" w:ascii="仿宋_GB2312" w:hAnsi="仿宋" w:eastAsia="仿宋_GB2312" w:cs="仿宋"/>
          <w:sz w:val="32"/>
          <w:szCs w:val="32"/>
        </w:rPr>
        <w:t>6</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 xml:space="preserve">万元。  </w:t>
      </w:r>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二、支出决算情况说明</w:t>
      </w:r>
    </w:p>
    <w:p>
      <w:pPr>
        <w:ind w:firstLine="640" w:firstLineChars="200"/>
        <w:rPr>
          <w:rFonts w:ascii="仿宋" w:hAnsi="仿宋" w:eastAsia="仿宋"/>
          <w:sz w:val="32"/>
          <w:szCs w:val="32"/>
        </w:rPr>
      </w:pPr>
      <w:r>
        <w:rPr>
          <w:rFonts w:hint="eastAsia" w:ascii="仿宋_GB2312" w:eastAsia="仿宋_GB2312" w:hAnsiTheme="minorEastAsia" w:cstheme="minorEastAsia"/>
          <w:sz w:val="32"/>
          <w:szCs w:val="32"/>
        </w:rPr>
        <w:t>本部门2018年度支出总计</w:t>
      </w:r>
      <w:r>
        <w:rPr>
          <w:rFonts w:hint="eastAsia" w:ascii="仿宋_GB2312" w:hAnsi="仿宋" w:eastAsia="仿宋_GB2312" w:cs="仿宋"/>
          <w:sz w:val="32"/>
          <w:szCs w:val="32"/>
          <w:lang w:val="en-US" w:eastAsia="zh-CN"/>
        </w:rPr>
        <w:t>78.</w:t>
      </w:r>
      <w:r>
        <w:rPr>
          <w:rFonts w:hint="eastAsia" w:ascii="仿宋_GB2312" w:hAnsi="仿宋" w:eastAsia="仿宋_GB2312" w:cs="仿宋"/>
          <w:sz w:val="32"/>
          <w:szCs w:val="32"/>
        </w:rPr>
        <w:t>6</w:t>
      </w:r>
      <w:r>
        <w:rPr>
          <w:rFonts w:hint="eastAsia" w:ascii="仿宋_GB2312" w:hAnsi="仿宋" w:eastAsia="仿宋_GB2312" w:cs="仿宋"/>
          <w:sz w:val="32"/>
          <w:szCs w:val="32"/>
          <w:lang w:val="en-US" w:eastAsia="zh-CN"/>
        </w:rPr>
        <w:t>7</w:t>
      </w:r>
      <w:r>
        <w:rPr>
          <w:rFonts w:hint="eastAsia" w:ascii="仿宋_GB2312" w:eastAsia="仿宋_GB2312" w:hAnsiTheme="minorEastAsia" w:cstheme="minorEastAsia"/>
          <w:sz w:val="32"/>
          <w:szCs w:val="32"/>
        </w:rPr>
        <w:t>万元，其中本年支出合计</w:t>
      </w:r>
      <w:r>
        <w:rPr>
          <w:rFonts w:hint="eastAsia" w:ascii="仿宋_GB2312" w:eastAsia="仿宋_GB2312" w:hAnsiTheme="minorEastAsia" w:cstheme="minorEastAsia"/>
          <w:sz w:val="32"/>
          <w:szCs w:val="32"/>
          <w:lang w:val="en-US" w:eastAsia="zh-CN"/>
        </w:rPr>
        <w:t>72.47</w:t>
      </w:r>
      <w:r>
        <w:rPr>
          <w:rFonts w:hint="eastAsia" w:ascii="仿宋_GB2312" w:eastAsia="仿宋_GB2312" w:hAnsiTheme="minorEastAsia" w:cstheme="minorEastAsia"/>
          <w:sz w:val="32"/>
          <w:szCs w:val="32"/>
        </w:rPr>
        <w:t>万元，较2017年增加</w:t>
      </w:r>
      <w:r>
        <w:rPr>
          <w:rFonts w:hint="eastAsia" w:ascii="仿宋_GB2312" w:eastAsia="仿宋_GB2312" w:hAnsiTheme="minorEastAsia" w:cstheme="minorEastAsia"/>
          <w:sz w:val="32"/>
          <w:szCs w:val="32"/>
          <w:lang w:val="en-US" w:eastAsia="zh-CN"/>
        </w:rPr>
        <w:t>2.2</w:t>
      </w:r>
      <w:r>
        <w:rPr>
          <w:rFonts w:hint="eastAsia" w:ascii="仿宋_GB2312" w:eastAsia="仿宋_GB2312" w:hAnsiTheme="minorEastAsia" w:cstheme="minorEastAsia"/>
          <w:sz w:val="32"/>
          <w:szCs w:val="32"/>
        </w:rPr>
        <w:t>万元，增长</w:t>
      </w:r>
      <w:r>
        <w:rPr>
          <w:rFonts w:hint="eastAsia" w:ascii="仿宋_GB2312" w:eastAsia="仿宋_GB2312" w:hAnsiTheme="minorEastAsia" w:cstheme="minorEastAsia"/>
          <w:sz w:val="32"/>
          <w:szCs w:val="32"/>
          <w:lang w:val="en-US" w:eastAsia="zh-CN"/>
        </w:rPr>
        <w:t>2.88</w:t>
      </w:r>
      <w:r>
        <w:rPr>
          <w:rFonts w:hint="eastAsia" w:ascii="仿宋_GB2312" w:eastAsia="仿宋_GB2312" w:hAnsiTheme="minorEastAsia" w:cstheme="minorEastAsia"/>
          <w:sz w:val="32"/>
          <w:szCs w:val="32"/>
        </w:rPr>
        <w:t>%，主要原因是：</w:t>
      </w:r>
      <w:r>
        <w:rPr>
          <w:rFonts w:hint="eastAsia" w:ascii="仿宋" w:hAnsi="仿宋" w:eastAsia="仿宋"/>
          <w:sz w:val="32"/>
          <w:szCs w:val="32"/>
          <w:lang w:eastAsia="zh-CN"/>
        </w:rPr>
        <w:t>群团活动</w:t>
      </w:r>
      <w:r>
        <w:rPr>
          <w:rFonts w:hint="eastAsia" w:ascii="仿宋" w:hAnsi="仿宋" w:eastAsia="仿宋"/>
          <w:sz w:val="32"/>
          <w:szCs w:val="32"/>
        </w:rPr>
        <w:t>增加。</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本年支出的具体构成为：基本支出6</w:t>
      </w:r>
      <w:r>
        <w:rPr>
          <w:rFonts w:hint="eastAsia" w:ascii="仿宋_GB2312" w:eastAsia="仿宋_GB2312" w:hAnsiTheme="minorEastAsia" w:cstheme="minorEastAsia"/>
          <w:sz w:val="32"/>
          <w:szCs w:val="32"/>
          <w:lang w:val="en-US" w:eastAsia="zh-CN"/>
        </w:rPr>
        <w:t>3</w:t>
      </w:r>
      <w:r>
        <w:rPr>
          <w:rFonts w:hint="eastAsia" w:ascii="仿宋_GB2312" w:eastAsia="仿宋_GB2312" w:hAnsiTheme="minorEastAsia" w:cstheme="minorEastAsia"/>
          <w:sz w:val="32"/>
          <w:szCs w:val="32"/>
        </w:rPr>
        <w:t>万元，占</w:t>
      </w:r>
      <w:r>
        <w:rPr>
          <w:rFonts w:hint="eastAsia" w:ascii="仿宋_GB2312" w:eastAsia="仿宋_GB2312" w:hAnsiTheme="minorEastAsia" w:cstheme="minorEastAsia"/>
          <w:sz w:val="32"/>
          <w:szCs w:val="32"/>
          <w:lang w:val="en-US" w:eastAsia="zh-CN"/>
        </w:rPr>
        <w:t>80</w:t>
      </w:r>
      <w:r>
        <w:rPr>
          <w:rFonts w:hint="eastAsia" w:ascii="仿宋_GB2312" w:eastAsia="仿宋_GB2312" w:hAnsiTheme="minorEastAsia" w:cstheme="minorEastAsia"/>
          <w:sz w:val="32"/>
          <w:szCs w:val="32"/>
        </w:rPr>
        <w:t>%；项目支出</w:t>
      </w:r>
      <w:r>
        <w:rPr>
          <w:rFonts w:hint="eastAsia" w:ascii="仿宋_GB2312" w:eastAsia="仿宋_GB2312" w:hAnsiTheme="minorEastAsia" w:cstheme="minorEastAsia"/>
          <w:sz w:val="32"/>
          <w:szCs w:val="32"/>
          <w:lang w:val="en-US" w:eastAsia="zh-CN"/>
        </w:rPr>
        <w:t>15.67</w:t>
      </w:r>
      <w:r>
        <w:rPr>
          <w:rFonts w:hint="eastAsia" w:ascii="仿宋_GB2312" w:eastAsia="仿宋_GB2312" w:hAnsiTheme="minorEastAsia" w:cstheme="minorEastAsia"/>
          <w:sz w:val="32"/>
          <w:szCs w:val="32"/>
        </w:rPr>
        <w:t>万元，占</w:t>
      </w:r>
      <w:r>
        <w:rPr>
          <w:rFonts w:hint="eastAsia" w:ascii="仿宋_GB2312" w:eastAsia="仿宋_GB2312" w:hAnsiTheme="minorEastAsia" w:cstheme="minorEastAsia"/>
          <w:sz w:val="32"/>
          <w:szCs w:val="32"/>
          <w:lang w:val="en-US" w:eastAsia="zh-CN"/>
        </w:rPr>
        <w:t>20</w:t>
      </w:r>
      <w:r>
        <w:rPr>
          <w:rFonts w:hint="eastAsia" w:ascii="仿宋_GB2312" w:eastAsia="仿宋_GB2312" w:hAnsiTheme="minorEastAsia" w:cstheme="minorEastAsia"/>
          <w:sz w:val="32"/>
          <w:szCs w:val="32"/>
        </w:rPr>
        <w:t>%。</w:t>
      </w:r>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三、一般公共预算财政拨款支出决算表公开到功能分类项级科目（05表）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本部门2018年度财政拨款本年支出年初预算数为   </w:t>
      </w:r>
      <w:r>
        <w:rPr>
          <w:rFonts w:hint="eastAsia" w:ascii="仿宋_GB2312" w:eastAsia="仿宋_GB2312" w:hAnsiTheme="minorEastAsia" w:cstheme="minorEastAsia"/>
          <w:sz w:val="32"/>
          <w:szCs w:val="32"/>
          <w:lang w:val="en-US" w:eastAsia="zh-CN"/>
        </w:rPr>
        <w:t>78.67</w:t>
      </w:r>
      <w:r>
        <w:rPr>
          <w:rFonts w:hint="eastAsia" w:ascii="仿宋_GB2312" w:eastAsia="仿宋_GB2312" w:hAnsiTheme="minorEastAsia" w:cstheme="minorEastAsia"/>
          <w:sz w:val="32"/>
          <w:szCs w:val="32"/>
        </w:rPr>
        <w:t>万元，决算数为</w:t>
      </w:r>
      <w:r>
        <w:rPr>
          <w:rFonts w:hint="eastAsia" w:ascii="仿宋_GB2312" w:eastAsia="仿宋_GB2312" w:hAnsiTheme="minorEastAsia" w:cstheme="minorEastAsia"/>
          <w:sz w:val="32"/>
          <w:szCs w:val="32"/>
          <w:lang w:val="en-US" w:eastAsia="zh-CN"/>
        </w:rPr>
        <w:t>78.67</w:t>
      </w:r>
      <w:r>
        <w:rPr>
          <w:rFonts w:hint="eastAsia" w:ascii="仿宋_GB2312" w:eastAsia="仿宋_GB2312" w:hAnsiTheme="minorEastAsia" w:cstheme="minorEastAsia"/>
          <w:sz w:val="32"/>
          <w:szCs w:val="32"/>
        </w:rPr>
        <w:t>万元，完成年初预算的</w:t>
      </w:r>
      <w:r>
        <w:rPr>
          <w:rFonts w:hint="eastAsia" w:ascii="仿宋_GB2312" w:eastAsia="仿宋_GB2312" w:hAnsiTheme="minorEastAsia" w:cstheme="minorEastAsia"/>
          <w:sz w:val="32"/>
          <w:szCs w:val="32"/>
          <w:lang w:val="en-US" w:eastAsia="zh-CN"/>
        </w:rPr>
        <w:t>100</w:t>
      </w:r>
      <w:r>
        <w:rPr>
          <w:rFonts w:hint="eastAsia" w:ascii="仿宋_GB2312" w:eastAsia="仿宋_GB2312" w:hAnsiTheme="minorEastAsia" w:cstheme="minorEastAsia"/>
          <w:sz w:val="32"/>
          <w:szCs w:val="32"/>
        </w:rPr>
        <w:t>%。其中：一般公共服务支出年初预算数为</w:t>
      </w:r>
      <w:r>
        <w:rPr>
          <w:rFonts w:hint="eastAsia" w:ascii="仿宋_GB2312" w:eastAsia="仿宋_GB2312" w:hAnsiTheme="minorEastAsia" w:cstheme="minorEastAsia"/>
          <w:sz w:val="32"/>
          <w:szCs w:val="32"/>
          <w:lang w:val="en-US" w:eastAsia="zh-CN"/>
        </w:rPr>
        <w:t>72.47</w:t>
      </w:r>
      <w:r>
        <w:rPr>
          <w:rFonts w:hint="eastAsia" w:ascii="仿宋_GB2312" w:eastAsia="仿宋_GB2312" w:hAnsiTheme="minorEastAsia" w:cstheme="minorEastAsia"/>
          <w:sz w:val="32"/>
          <w:szCs w:val="32"/>
        </w:rPr>
        <w:t>万元，决算数为</w:t>
      </w:r>
      <w:r>
        <w:rPr>
          <w:rFonts w:hint="eastAsia" w:ascii="仿宋_GB2312" w:eastAsia="仿宋_GB2312" w:hAnsiTheme="minorEastAsia" w:cstheme="minorEastAsia"/>
          <w:sz w:val="32"/>
          <w:szCs w:val="32"/>
          <w:lang w:val="en-US" w:eastAsia="zh-CN"/>
        </w:rPr>
        <w:t>72.47</w:t>
      </w:r>
      <w:r>
        <w:rPr>
          <w:rFonts w:hint="eastAsia" w:ascii="仿宋_GB2312" w:eastAsia="仿宋_GB2312" w:hAnsiTheme="minorEastAsia" w:cstheme="minorEastAsia"/>
          <w:sz w:val="32"/>
          <w:szCs w:val="32"/>
        </w:rPr>
        <w:t>万元，完成年初预算的</w:t>
      </w:r>
      <w:r>
        <w:rPr>
          <w:rFonts w:hint="eastAsia" w:ascii="仿宋_GB2312" w:eastAsia="仿宋_GB2312" w:hAnsiTheme="minorEastAsia" w:cstheme="minorEastAsia"/>
          <w:sz w:val="32"/>
          <w:szCs w:val="32"/>
          <w:lang w:val="en-US" w:eastAsia="zh-CN"/>
        </w:rPr>
        <w:t>100</w:t>
      </w:r>
      <w:r>
        <w:rPr>
          <w:rFonts w:hint="eastAsia" w:ascii="仿宋_GB2312" w:eastAsia="仿宋_GB2312" w:hAnsiTheme="minorEastAsia" w:cstheme="minorEastAsia"/>
          <w:sz w:val="32"/>
          <w:szCs w:val="32"/>
        </w:rPr>
        <w:t>%。</w:t>
      </w:r>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四、一般公共预算财政拨款基本支出决算表公开到经济性质分类款级科目（06表）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本部门2018年度一般公共预算财政拨款基本支出</w:t>
      </w:r>
      <w:r>
        <w:rPr>
          <w:rFonts w:hint="eastAsia" w:ascii="仿宋_GB2312" w:eastAsia="仿宋_GB2312" w:hAnsiTheme="minorEastAsia" w:cstheme="minorEastAsia"/>
          <w:sz w:val="32"/>
          <w:szCs w:val="32"/>
          <w:lang w:val="en-US" w:eastAsia="zh-CN"/>
        </w:rPr>
        <w:t>78.67</w:t>
      </w:r>
      <w:r>
        <w:rPr>
          <w:rFonts w:hint="eastAsia" w:ascii="仿宋_GB2312" w:eastAsia="仿宋_GB2312" w:hAnsiTheme="minorEastAsia" w:cstheme="minorEastAsia"/>
          <w:sz w:val="32"/>
          <w:szCs w:val="32"/>
        </w:rPr>
        <w:t>万元，其中：</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（一）工资福利支出</w:t>
      </w:r>
      <w:r>
        <w:rPr>
          <w:rFonts w:hint="eastAsia" w:ascii="仿宋_GB2312" w:eastAsia="仿宋_GB2312" w:hAnsiTheme="minorEastAsia" w:cstheme="minorEastAsia"/>
          <w:sz w:val="32"/>
          <w:szCs w:val="32"/>
          <w:lang w:val="en-US" w:eastAsia="zh-CN"/>
        </w:rPr>
        <w:t>55.72</w:t>
      </w:r>
      <w:r>
        <w:rPr>
          <w:rFonts w:hint="eastAsia" w:ascii="仿宋_GB2312" w:eastAsia="仿宋_GB2312" w:hAnsiTheme="minorEastAsia" w:cstheme="minorEastAsia"/>
          <w:sz w:val="32"/>
          <w:szCs w:val="32"/>
        </w:rPr>
        <w:t>万元，较2017年增加</w:t>
      </w:r>
      <w:r>
        <w:rPr>
          <w:rFonts w:hint="eastAsia" w:ascii="仿宋_GB2312" w:eastAsia="仿宋_GB2312" w:hAnsiTheme="minorEastAsia" w:cstheme="minorEastAsia"/>
          <w:sz w:val="32"/>
          <w:szCs w:val="32"/>
          <w:lang w:val="en-US" w:eastAsia="zh-CN"/>
        </w:rPr>
        <w:t>6.01</w:t>
      </w:r>
      <w:r>
        <w:rPr>
          <w:rFonts w:hint="eastAsia" w:ascii="仿宋_GB2312" w:eastAsia="仿宋_GB2312" w:hAnsiTheme="minorEastAsia" w:cstheme="minorEastAsia"/>
          <w:sz w:val="32"/>
          <w:szCs w:val="32"/>
        </w:rPr>
        <w:t>万元，增长</w:t>
      </w:r>
      <w:r>
        <w:rPr>
          <w:rFonts w:hint="eastAsia" w:ascii="仿宋_GB2312" w:eastAsia="仿宋_GB2312" w:hAnsiTheme="minorEastAsia" w:cstheme="minorEastAsia"/>
          <w:sz w:val="32"/>
          <w:szCs w:val="32"/>
          <w:lang w:val="en-US" w:eastAsia="zh-CN"/>
        </w:rPr>
        <w:t>12.27</w:t>
      </w:r>
      <w:r>
        <w:rPr>
          <w:rFonts w:hint="eastAsia" w:ascii="仿宋_GB2312" w:eastAsia="仿宋_GB2312" w:hAnsiTheme="minorEastAsia" w:cstheme="minorEastAsia"/>
          <w:sz w:val="32"/>
          <w:szCs w:val="32"/>
        </w:rPr>
        <w:t>%，主要原因是：</w:t>
      </w:r>
      <w:r>
        <w:rPr>
          <w:rFonts w:hint="eastAsia" w:ascii="仿宋_GB2312" w:eastAsia="仿宋_GB2312" w:hAnsiTheme="minorEastAsia" w:cstheme="minorEastAsia"/>
          <w:sz w:val="32"/>
          <w:szCs w:val="32"/>
          <w:lang w:eastAsia="zh-CN"/>
        </w:rPr>
        <w:t>人员变动</w:t>
      </w:r>
      <w:r>
        <w:rPr>
          <w:rFonts w:hint="eastAsia" w:ascii="仿宋_GB2312" w:eastAsia="仿宋_GB2312" w:hAnsiTheme="minorEastAsia" w:cstheme="minorEastAsia"/>
          <w:sz w:val="32"/>
          <w:szCs w:val="32"/>
        </w:rPr>
        <w:t>。</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（二）商品和服务支出</w:t>
      </w:r>
      <w:r>
        <w:rPr>
          <w:rFonts w:hint="eastAsia" w:ascii="仿宋_GB2312" w:eastAsia="仿宋_GB2312" w:hAnsiTheme="minorEastAsia" w:cstheme="minorEastAsia"/>
          <w:sz w:val="32"/>
          <w:szCs w:val="32"/>
          <w:lang w:val="en-US" w:eastAsia="zh-CN"/>
        </w:rPr>
        <w:t>22.89</w:t>
      </w:r>
      <w:r>
        <w:rPr>
          <w:rFonts w:hint="eastAsia" w:ascii="仿宋_GB2312" w:eastAsia="仿宋_GB2312" w:hAnsiTheme="minorEastAsia" w:cstheme="minorEastAsia"/>
          <w:sz w:val="32"/>
          <w:szCs w:val="32"/>
        </w:rPr>
        <w:t>万元，较2017年减少</w:t>
      </w:r>
      <w:r>
        <w:rPr>
          <w:rFonts w:hint="eastAsia" w:ascii="仿宋_GB2312" w:eastAsia="仿宋_GB2312" w:hAnsiTheme="minorEastAsia" w:cstheme="minorEastAsia"/>
          <w:sz w:val="32"/>
          <w:szCs w:val="32"/>
          <w:lang w:val="en-US" w:eastAsia="zh-CN"/>
        </w:rPr>
        <w:t>0.88</w:t>
      </w:r>
      <w:r>
        <w:rPr>
          <w:rFonts w:hint="eastAsia" w:ascii="仿宋_GB2312" w:eastAsia="仿宋_GB2312" w:hAnsiTheme="minorEastAsia" w:cstheme="minorEastAsia"/>
          <w:sz w:val="32"/>
          <w:szCs w:val="32"/>
        </w:rPr>
        <w:t>万元，下降</w:t>
      </w:r>
      <w:r>
        <w:rPr>
          <w:rFonts w:hint="eastAsia" w:ascii="仿宋_GB2312" w:eastAsia="仿宋_GB2312" w:hAnsiTheme="minorEastAsia" w:cstheme="minorEastAsia"/>
          <w:sz w:val="32"/>
          <w:szCs w:val="32"/>
          <w:lang w:val="en-US" w:eastAsia="zh-CN"/>
        </w:rPr>
        <w:t>3.7</w:t>
      </w:r>
      <w:r>
        <w:rPr>
          <w:rFonts w:hint="eastAsia" w:ascii="仿宋_GB2312" w:eastAsia="仿宋_GB2312" w:hAnsiTheme="minorEastAsia" w:cstheme="minorEastAsia"/>
          <w:sz w:val="32"/>
          <w:szCs w:val="32"/>
        </w:rPr>
        <w:t>%，主要原因是：</w:t>
      </w:r>
      <w:r>
        <w:rPr>
          <w:rFonts w:hint="eastAsia" w:ascii="仿宋_GB2312" w:eastAsia="仿宋_GB2312" w:hAnsiTheme="minorEastAsia" w:cstheme="minorEastAsia"/>
          <w:sz w:val="32"/>
          <w:szCs w:val="32"/>
          <w:lang w:eastAsia="zh-CN"/>
        </w:rPr>
        <w:t>临时工资金和工会经费减少</w:t>
      </w:r>
      <w:r>
        <w:rPr>
          <w:rFonts w:hint="eastAsia" w:ascii="仿宋_GB2312" w:eastAsia="仿宋_GB2312" w:hAnsiTheme="minorEastAsia" w:cstheme="minorEastAsia"/>
          <w:sz w:val="32"/>
          <w:szCs w:val="32"/>
        </w:rPr>
        <w:t>。</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（三）对个人和家庭补助支出</w:t>
      </w:r>
      <w:r>
        <w:rPr>
          <w:rFonts w:hint="eastAsia" w:ascii="仿宋_GB2312" w:eastAsia="仿宋_GB2312" w:hAnsiTheme="minorEastAsia" w:cstheme="minorEastAsia"/>
          <w:sz w:val="32"/>
          <w:szCs w:val="32"/>
          <w:lang w:val="en-US" w:eastAsia="zh-CN"/>
        </w:rPr>
        <w:t>0.06</w:t>
      </w:r>
      <w:r>
        <w:rPr>
          <w:rFonts w:hint="eastAsia" w:ascii="仿宋_GB2312" w:eastAsia="仿宋_GB2312" w:hAnsiTheme="minorEastAsia" w:cstheme="minorEastAsia"/>
          <w:sz w:val="32"/>
          <w:szCs w:val="32"/>
        </w:rPr>
        <w:t>万元，较2017年减少</w:t>
      </w:r>
      <w:r>
        <w:rPr>
          <w:rFonts w:hint="eastAsia" w:ascii="仿宋_GB2312" w:eastAsia="仿宋_GB2312" w:hAnsiTheme="minorEastAsia" w:cstheme="minorEastAsia"/>
          <w:sz w:val="32"/>
          <w:szCs w:val="32"/>
          <w:lang w:val="en-US" w:eastAsia="zh-CN"/>
        </w:rPr>
        <w:t>3.4</w:t>
      </w:r>
      <w:r>
        <w:rPr>
          <w:rFonts w:hint="eastAsia" w:ascii="仿宋_GB2312" w:eastAsia="仿宋_GB2312" w:hAnsiTheme="minorEastAsia" w:cstheme="minorEastAsia"/>
          <w:sz w:val="32"/>
          <w:szCs w:val="32"/>
        </w:rPr>
        <w:t>万元，下降</w:t>
      </w:r>
      <w:r>
        <w:rPr>
          <w:rFonts w:hint="eastAsia" w:ascii="仿宋_GB2312" w:eastAsia="仿宋_GB2312" w:hAnsiTheme="minorEastAsia" w:cstheme="minorEastAsia"/>
          <w:sz w:val="32"/>
          <w:szCs w:val="32"/>
          <w:lang w:val="en-US" w:eastAsia="zh-CN"/>
        </w:rPr>
        <w:t>98.26</w:t>
      </w:r>
      <w:r>
        <w:rPr>
          <w:rFonts w:hint="eastAsia" w:ascii="仿宋_GB2312" w:eastAsia="仿宋_GB2312" w:hAnsiTheme="minorEastAsia" w:cstheme="minorEastAsia"/>
          <w:sz w:val="32"/>
          <w:szCs w:val="32"/>
        </w:rPr>
        <w:t>.2%，主要原因是：采暖补贴减少。</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（四）资本性支出</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万元，较2017年减少</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万元。</w:t>
      </w:r>
    </w:p>
    <w:p>
      <w:pPr>
        <w:ind w:firstLine="640" w:firstLineChars="200"/>
        <w:rPr>
          <w:rFonts w:ascii="楷体" w:hAnsi="楷体" w:eastAsia="楷体" w:cstheme="minorEastAsia"/>
          <w:b/>
          <w:sz w:val="32"/>
          <w:szCs w:val="32"/>
        </w:rPr>
      </w:pPr>
      <w:r>
        <w:rPr>
          <w:rFonts w:hint="eastAsia" w:ascii="楷体" w:hAnsi="楷体" w:eastAsia="楷体" w:cstheme="minorEastAsia"/>
          <w:bCs/>
          <w:sz w:val="32"/>
          <w:szCs w:val="32"/>
        </w:rPr>
        <w:t>五、一般公共预算财政拨款“三公”经费支出决算情况说明</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本部门2018年度一般公共预算财政拨款“三公”经费支出年初预算数为</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万元，决算数为</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万元，决算数较2017年减少</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元，下降</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%，其中：</w:t>
      </w:r>
    </w:p>
    <w:p>
      <w:pPr>
        <w:numPr>
          <w:ilvl w:val="0"/>
          <w:numId w:val="1"/>
        </w:num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因公出国（境）支出年初预算数为0万元，决算数为0万元。</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（二）公务接待费支出年初预算数为</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万元，决算数为</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万元，决算数较2017年减少</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元，下降</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公务用车购置及运行维护费支出0万元，其中公务用车购置年初预算数为0万元，决算数为0万元，决算数较2018年增加（减少）0万元；公务用车运行维护费支出年初预算数为0万元，决算数为0万元，决算数较2018年增加（减少）0万元。本年度公务用车购置数0，公务用车保有量0。</w:t>
      </w:r>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六、政府采购支出情况说明</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本部门2018年度政府采购支出总额</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万元，其中：政府采购货物支出</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万元，占政府采购支出总额的</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w:t>
      </w:r>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七、机关运行经费执行情况说明</w:t>
      </w:r>
    </w:p>
    <w:p>
      <w:pPr>
        <w:ind w:firstLine="640" w:firstLineChars="200"/>
        <w:rPr>
          <w:rFonts w:ascii="仿宋_GB2312" w:hAnsi="仿宋" w:eastAsia="仿宋_GB2312" w:cstheme="minorEastAsia"/>
          <w:sz w:val="32"/>
          <w:szCs w:val="32"/>
        </w:rPr>
      </w:pPr>
      <w:r>
        <w:rPr>
          <w:rFonts w:hint="eastAsia" w:ascii="仿宋_GB2312" w:hAnsi="仿宋" w:eastAsia="仿宋_GB2312" w:cstheme="minorEastAsia"/>
          <w:sz w:val="32"/>
          <w:szCs w:val="32"/>
        </w:rPr>
        <w:t>本部门2018年度机关运行经费支出</w:t>
      </w:r>
      <w:r>
        <w:rPr>
          <w:rFonts w:hint="eastAsia" w:ascii="仿宋_GB2312" w:hAnsi="仿宋" w:eastAsia="仿宋_GB2312" w:cstheme="minorEastAsia"/>
          <w:sz w:val="32"/>
          <w:szCs w:val="32"/>
          <w:lang w:val="en-US" w:eastAsia="zh-CN"/>
        </w:rPr>
        <w:t>7.2</w:t>
      </w:r>
      <w:r>
        <w:rPr>
          <w:rFonts w:hint="eastAsia" w:ascii="仿宋_GB2312" w:hAnsi="仿宋" w:eastAsia="仿宋_GB2312" w:cstheme="minorEastAsia"/>
          <w:sz w:val="32"/>
          <w:szCs w:val="32"/>
        </w:rPr>
        <w:t>万元，较2017年减少</w:t>
      </w:r>
      <w:r>
        <w:rPr>
          <w:rFonts w:hint="eastAsia" w:ascii="仿宋_GB2312" w:hAnsi="仿宋" w:eastAsia="仿宋_GB2312" w:cstheme="minorEastAsia"/>
          <w:sz w:val="32"/>
          <w:szCs w:val="32"/>
          <w:lang w:val="en-US" w:eastAsia="zh-CN"/>
        </w:rPr>
        <w:t>2.8</w:t>
      </w:r>
      <w:r>
        <w:rPr>
          <w:rFonts w:hint="eastAsia" w:ascii="仿宋_GB2312" w:hAnsi="仿宋" w:eastAsia="仿宋_GB2312" w:cstheme="minorEastAsia"/>
          <w:sz w:val="32"/>
          <w:szCs w:val="32"/>
        </w:rPr>
        <w:t>万元，下降</w:t>
      </w:r>
      <w:r>
        <w:rPr>
          <w:rFonts w:hint="eastAsia" w:ascii="仿宋_GB2312" w:hAnsi="仿宋" w:eastAsia="仿宋_GB2312" w:cstheme="minorEastAsia"/>
          <w:sz w:val="32"/>
          <w:szCs w:val="32"/>
          <w:lang w:val="en-US" w:eastAsia="zh-CN"/>
        </w:rPr>
        <w:t>28</w:t>
      </w:r>
      <w:r>
        <w:rPr>
          <w:rFonts w:hint="eastAsia" w:ascii="仿宋_GB2312" w:hAnsi="仿宋" w:eastAsia="仿宋_GB2312" w:cstheme="minorEastAsia"/>
          <w:sz w:val="32"/>
          <w:szCs w:val="32"/>
        </w:rPr>
        <w:t>%，主要原因是：</w:t>
      </w:r>
      <w:r>
        <w:rPr>
          <w:rFonts w:hint="eastAsia" w:ascii="仿宋_GB2312" w:hAnsi="仿宋" w:eastAsia="仿宋_GB2312" w:cstheme="minorEastAsia"/>
          <w:sz w:val="32"/>
          <w:szCs w:val="32"/>
          <w:lang w:eastAsia="zh-CN"/>
        </w:rPr>
        <w:t>公务</w:t>
      </w:r>
      <w:r>
        <w:rPr>
          <w:rFonts w:hint="eastAsia" w:ascii="仿宋_GB2312" w:hAnsi="仿宋" w:eastAsia="仿宋_GB2312" w:cstheme="minorEastAsia"/>
          <w:sz w:val="32"/>
          <w:szCs w:val="32"/>
        </w:rPr>
        <w:t xml:space="preserve">活动减少。 </w:t>
      </w:r>
    </w:p>
    <w:p>
      <w:pPr>
        <w:ind w:firstLine="640" w:firstLineChars="200"/>
        <w:rPr>
          <w:rFonts w:ascii="楷体" w:hAnsi="楷体" w:eastAsia="楷体" w:cstheme="minorEastAsia"/>
          <w:b/>
          <w:sz w:val="32"/>
          <w:szCs w:val="32"/>
        </w:rPr>
      </w:pPr>
      <w:r>
        <w:rPr>
          <w:rStyle w:val="6"/>
          <w:rFonts w:hint="eastAsia" w:ascii="楷体" w:hAnsi="楷体" w:eastAsia="楷体" w:cs="宋体"/>
          <w:b w:val="0"/>
          <w:bCs/>
          <w:sz w:val="32"/>
          <w:szCs w:val="32"/>
        </w:rPr>
        <w:t>八、国有资产占用情况说明</w:t>
      </w:r>
    </w:p>
    <w:p>
      <w:pPr>
        <w:pStyle w:val="4"/>
        <w:widowControl/>
        <w:spacing w:before="0" w:beforeAutospacing="0" w:after="0" w:afterAutospacing="0" w:line="30" w:lineRule="atLeast"/>
        <w:ind w:firstLine="640"/>
        <w:rPr>
          <w:rStyle w:val="6"/>
          <w:rFonts w:ascii="仿宋_GB2312" w:hAnsi="楷体" w:eastAsia="仿宋_GB2312" w:cs="宋体"/>
          <w:b w:val="0"/>
          <w:sz w:val="32"/>
          <w:szCs w:val="32"/>
        </w:rPr>
      </w:pPr>
      <w:r>
        <w:rPr>
          <w:rStyle w:val="6"/>
          <w:rFonts w:hint="eastAsia" w:ascii="仿宋_GB2312" w:hAnsi="楷体" w:eastAsia="仿宋_GB2312" w:cs="宋体"/>
          <w:b w:val="0"/>
          <w:sz w:val="32"/>
          <w:szCs w:val="32"/>
        </w:rPr>
        <w:t>本部门共有车辆数合计</w:t>
      </w:r>
      <w:r>
        <w:rPr>
          <w:rStyle w:val="6"/>
          <w:rFonts w:hint="eastAsia" w:ascii="仿宋_GB2312" w:hAnsi="楷体" w:eastAsia="仿宋_GB2312" w:cs="宋体"/>
          <w:b w:val="0"/>
          <w:sz w:val="32"/>
          <w:szCs w:val="32"/>
          <w:lang w:val="en-US" w:eastAsia="zh-CN"/>
        </w:rPr>
        <w:t>0</w:t>
      </w:r>
      <w:r>
        <w:rPr>
          <w:rStyle w:val="6"/>
          <w:rFonts w:hint="eastAsia" w:ascii="仿宋_GB2312" w:hAnsi="楷体" w:eastAsia="仿宋_GB2312" w:cs="宋体"/>
          <w:b w:val="0"/>
          <w:sz w:val="32"/>
          <w:szCs w:val="32"/>
        </w:rPr>
        <w:t>辆；单价50万元以上通用设备</w:t>
      </w:r>
      <w:r>
        <w:rPr>
          <w:rStyle w:val="6"/>
          <w:rFonts w:hint="eastAsia" w:ascii="仿宋_GB2312" w:hAnsi="楷体" w:eastAsia="仿宋_GB2312" w:cs="宋体"/>
          <w:b w:val="0"/>
          <w:sz w:val="32"/>
          <w:szCs w:val="32"/>
          <w:lang w:val="en-US" w:eastAsia="zh-CN"/>
        </w:rPr>
        <w:t>0</w:t>
      </w:r>
      <w:r>
        <w:rPr>
          <w:rStyle w:val="6"/>
          <w:rFonts w:hint="eastAsia" w:ascii="仿宋_GB2312" w:hAnsi="楷体" w:eastAsia="仿宋_GB2312" w:cs="宋体"/>
          <w:b w:val="0"/>
          <w:sz w:val="32"/>
          <w:szCs w:val="32"/>
        </w:rPr>
        <w:t>台/套；单价100万元以上专用设备</w:t>
      </w:r>
      <w:r>
        <w:rPr>
          <w:rStyle w:val="6"/>
          <w:rFonts w:hint="eastAsia" w:ascii="仿宋_GB2312" w:hAnsi="楷体" w:eastAsia="仿宋_GB2312" w:cs="宋体"/>
          <w:b w:val="0"/>
          <w:sz w:val="32"/>
          <w:szCs w:val="32"/>
          <w:lang w:val="en-US" w:eastAsia="zh-CN"/>
        </w:rPr>
        <w:t>0</w:t>
      </w:r>
      <w:r>
        <w:rPr>
          <w:rStyle w:val="6"/>
          <w:rFonts w:hint="eastAsia" w:ascii="仿宋_GB2312" w:hAnsi="楷体" w:eastAsia="仿宋_GB2312" w:cs="宋体"/>
          <w:b w:val="0"/>
          <w:sz w:val="32"/>
          <w:szCs w:val="32"/>
        </w:rPr>
        <w:t>台/套。</w:t>
      </w:r>
    </w:p>
    <w:p>
      <w:pPr>
        <w:ind w:firstLine="640" w:firstLineChars="200"/>
        <w:rPr>
          <w:rFonts w:ascii="仿宋" w:hAnsi="仿宋" w:eastAsia="仿宋" w:cs="仿宋_GB2312"/>
          <w:szCs w:val="30"/>
        </w:rPr>
      </w:pPr>
      <w:r>
        <w:rPr>
          <w:rStyle w:val="6"/>
          <w:rFonts w:hint="eastAsia" w:ascii="楷体" w:hAnsi="楷体" w:eastAsia="楷体" w:cs="宋体"/>
          <w:b w:val="0"/>
          <w:bCs/>
          <w:kern w:val="0"/>
          <w:sz w:val="32"/>
          <w:szCs w:val="32"/>
        </w:rPr>
        <w:t>九、重点绩效评价结果等预算绩效情况说明</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一、财政拨款收入：指单位本年度从本级财政部门取得的财政拨款，包括一般公共预算财政拨款和政府性基金预算财政拨款。</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二、上级补助收入：指事业单位从主管部门和上级单位取得的非财政补助收入。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三、事业收入：指事业单位开展专业业务活动及其辅助活动取得的收入；事业单位收到的财政专户实际核拨的教育收费等资金在此反映。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四、经营收入：指事业单位在专业业务活动及其辅助活动之外开展非独立核算经营活动取得的收入。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五、附属单位缴款：指事业单位附属独立核算单位按照有关规定上缴的收入。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六、其他收入：指单位取得的除上述“财政拨款收入”、“事业收入”、“经营收入”、“附属单位缴款”等以外的各项收入。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七、用事业基金弥补收支差额：指事业单位用事业基金弥补当年收支差额的数额。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八、年初结转和结余：指单位上年结转本年使用的基本支出结转、项目支出结转和结余和经营结余。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九、结余分配：指事业单位按规定对非财政补助结余资金提取的职工福利基金、事业基金和缴纳的所得税，以及减少单位按规定应缴回的基本建设竣工项目结余资金。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十、年末结转和结余资金：指单位结转下年的基本支出结转、项目支出结转和结余和经营结余。</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十一、基本支出：指为保障机构正常运转、完成日常工作任务而发生的人员支出和公用支出。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十二、项目支出：指在基本支出之外为完成特定的行政任务或事业发展目标所发生的支出。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十三、上缴上级支出：指事业单位按照财政部门和主管部门的规定上缴上级单位的支出。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十四、经营支出：指事业单位在专业业务活动及其辅助活动之外开展非独立核算经营活动发生的支出。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十五、对附属单位补助支出：指事业单位用财政补助收入之外的收入对附属单位补助发生的支出。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0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48E87EB6"/>
    <w:rsid w:val="0001019D"/>
    <w:rsid w:val="00056652"/>
    <w:rsid w:val="000871B4"/>
    <w:rsid w:val="000A7194"/>
    <w:rsid w:val="000D2C15"/>
    <w:rsid w:val="000D4775"/>
    <w:rsid w:val="0011026C"/>
    <w:rsid w:val="00121209"/>
    <w:rsid w:val="001330DE"/>
    <w:rsid w:val="001C0185"/>
    <w:rsid w:val="00265D8C"/>
    <w:rsid w:val="00272AA4"/>
    <w:rsid w:val="002A78F3"/>
    <w:rsid w:val="002B74C9"/>
    <w:rsid w:val="002E2D80"/>
    <w:rsid w:val="00311EC7"/>
    <w:rsid w:val="00320465"/>
    <w:rsid w:val="0033365A"/>
    <w:rsid w:val="003343CB"/>
    <w:rsid w:val="003374B1"/>
    <w:rsid w:val="00356142"/>
    <w:rsid w:val="003E5626"/>
    <w:rsid w:val="00481790"/>
    <w:rsid w:val="004B172E"/>
    <w:rsid w:val="004D1658"/>
    <w:rsid w:val="004F06A1"/>
    <w:rsid w:val="00536A73"/>
    <w:rsid w:val="005B0D39"/>
    <w:rsid w:val="005F2480"/>
    <w:rsid w:val="00630491"/>
    <w:rsid w:val="00643BE9"/>
    <w:rsid w:val="00694BC5"/>
    <w:rsid w:val="00696E76"/>
    <w:rsid w:val="006D026C"/>
    <w:rsid w:val="006F6217"/>
    <w:rsid w:val="00751A1A"/>
    <w:rsid w:val="00760ADC"/>
    <w:rsid w:val="007634B0"/>
    <w:rsid w:val="00835152"/>
    <w:rsid w:val="008524E1"/>
    <w:rsid w:val="00862700"/>
    <w:rsid w:val="008934C9"/>
    <w:rsid w:val="008973C7"/>
    <w:rsid w:val="008C542A"/>
    <w:rsid w:val="008D5CA9"/>
    <w:rsid w:val="00910E87"/>
    <w:rsid w:val="009436C0"/>
    <w:rsid w:val="0094647C"/>
    <w:rsid w:val="00954558"/>
    <w:rsid w:val="00961269"/>
    <w:rsid w:val="009828D7"/>
    <w:rsid w:val="009B6471"/>
    <w:rsid w:val="009D5346"/>
    <w:rsid w:val="009E1B81"/>
    <w:rsid w:val="00A472BB"/>
    <w:rsid w:val="00A61D97"/>
    <w:rsid w:val="00AA0947"/>
    <w:rsid w:val="00AA0ED7"/>
    <w:rsid w:val="00AC0F55"/>
    <w:rsid w:val="00B82B66"/>
    <w:rsid w:val="00B84099"/>
    <w:rsid w:val="00BD7E57"/>
    <w:rsid w:val="00C2614B"/>
    <w:rsid w:val="00C61F50"/>
    <w:rsid w:val="00C91007"/>
    <w:rsid w:val="00CB6593"/>
    <w:rsid w:val="00CC30DB"/>
    <w:rsid w:val="00CF14FA"/>
    <w:rsid w:val="00D04B16"/>
    <w:rsid w:val="00D25442"/>
    <w:rsid w:val="00DA2B51"/>
    <w:rsid w:val="00DD257F"/>
    <w:rsid w:val="00E74F60"/>
    <w:rsid w:val="00E772A2"/>
    <w:rsid w:val="00E94DD3"/>
    <w:rsid w:val="00F0094C"/>
    <w:rsid w:val="00F7562C"/>
    <w:rsid w:val="00FA2BDC"/>
    <w:rsid w:val="00FD024D"/>
    <w:rsid w:val="014A06B6"/>
    <w:rsid w:val="01DA336E"/>
    <w:rsid w:val="051471E1"/>
    <w:rsid w:val="05E42E29"/>
    <w:rsid w:val="0805632F"/>
    <w:rsid w:val="0C5A5250"/>
    <w:rsid w:val="0C64513E"/>
    <w:rsid w:val="0DE649EC"/>
    <w:rsid w:val="0EE25EB1"/>
    <w:rsid w:val="10CB3E8D"/>
    <w:rsid w:val="1B4A6025"/>
    <w:rsid w:val="1E107510"/>
    <w:rsid w:val="1F613D27"/>
    <w:rsid w:val="209E0EC3"/>
    <w:rsid w:val="22140CC1"/>
    <w:rsid w:val="2A937DAC"/>
    <w:rsid w:val="2A9F4E30"/>
    <w:rsid w:val="2DB60033"/>
    <w:rsid w:val="2F754CA8"/>
    <w:rsid w:val="341824CB"/>
    <w:rsid w:val="343F3937"/>
    <w:rsid w:val="34D53928"/>
    <w:rsid w:val="37015ED3"/>
    <w:rsid w:val="3F5C42DA"/>
    <w:rsid w:val="43E475B8"/>
    <w:rsid w:val="458B37F5"/>
    <w:rsid w:val="48832669"/>
    <w:rsid w:val="48E87EB6"/>
    <w:rsid w:val="4A4F3891"/>
    <w:rsid w:val="4D9B3CEE"/>
    <w:rsid w:val="518432BD"/>
    <w:rsid w:val="52567629"/>
    <w:rsid w:val="582B68F4"/>
    <w:rsid w:val="5D083F24"/>
    <w:rsid w:val="60860A87"/>
    <w:rsid w:val="60B46440"/>
    <w:rsid w:val="62C0264E"/>
    <w:rsid w:val="635C762A"/>
    <w:rsid w:val="695D521E"/>
    <w:rsid w:val="71FC58C7"/>
    <w:rsid w:val="7A097848"/>
    <w:rsid w:val="7C7014AB"/>
    <w:rsid w:val="7EFA79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6">
    <w:name w:val="Strong"/>
    <w:basedOn w:val="5"/>
    <w:qFormat/>
    <w:uiPriority w:val="0"/>
    <w:rPr>
      <w:b/>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99"/>
    <w:rPr>
      <w:rFonts w:asciiTheme="minorHAnsi" w:hAnsiTheme="minorHAnsi" w:eastAsiaTheme="minorEastAsia" w:cstheme="minorBidi"/>
      <w:kern w:val="2"/>
      <w:sz w:val="18"/>
      <w:szCs w:val="18"/>
    </w:rPr>
  </w:style>
  <w:style w:type="paragraph" w:styleId="10">
    <w:name w:val="List Paragraph"/>
    <w:basedOn w:val="1"/>
    <w:unhideWhenUsed/>
    <w:uiPriority w:val="99"/>
    <w:pPr>
      <w:ind w:firstLine="420" w:firstLineChars="200"/>
    </w:pPr>
  </w:style>
  <w:style w:type="paragraph" w:styleId="11">
    <w:name w:val="No Spacing"/>
    <w:link w:val="12"/>
    <w:qFormat/>
    <w:uiPriority w:val="99"/>
    <w:pPr>
      <w:ind w:firstLine="200" w:firstLineChars="200"/>
    </w:pPr>
    <w:rPr>
      <w:rFonts w:ascii="Times New Roman" w:hAnsi="Times New Roman" w:eastAsia="仿宋_GB2312" w:cs="Times New Roman"/>
      <w:sz w:val="30"/>
      <w:szCs w:val="22"/>
      <w:lang w:val="en-US" w:eastAsia="zh-CN" w:bidi="ar-SA"/>
    </w:rPr>
  </w:style>
  <w:style w:type="character" w:customStyle="1" w:styleId="12">
    <w:name w:val="无间隔 Char"/>
    <w:link w:val="11"/>
    <w:qFormat/>
    <w:locked/>
    <w:uiPriority w:val="99"/>
    <w:rPr>
      <w:rFonts w:eastAsia="仿宋_GB2312"/>
      <w:sz w:val="30"/>
      <w:szCs w:val="22"/>
    </w:rPr>
  </w:style>
  <w:style w:type="paragraph" w:customStyle="1" w:styleId="13">
    <w:name w:val="无间隔1"/>
    <w:link w:val="14"/>
    <w:qFormat/>
    <w:uiPriority w:val="99"/>
    <w:pPr>
      <w:ind w:firstLine="200" w:firstLineChars="200"/>
    </w:pPr>
    <w:rPr>
      <w:rFonts w:ascii="Times New Roman" w:hAnsi="Times New Roman" w:eastAsia="仿宋_GB2312" w:cs="Times New Roman"/>
      <w:sz w:val="30"/>
      <w:szCs w:val="22"/>
      <w:lang w:val="en-US" w:eastAsia="zh-CN" w:bidi="ar-SA"/>
    </w:rPr>
  </w:style>
  <w:style w:type="character" w:customStyle="1" w:styleId="14">
    <w:name w:val="无间隔 字符"/>
    <w:link w:val="13"/>
    <w:qFormat/>
    <w:locked/>
    <w:uiPriority w:val="99"/>
    <w:rPr>
      <w:rFonts w:eastAsia="仿宋_GB2312"/>
      <w:sz w:val="30"/>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690</Words>
  <Characters>3936</Characters>
  <Lines>32</Lines>
  <Paragraphs>9</Paragraphs>
  <TotalTime>24</TotalTime>
  <ScaleCrop>false</ScaleCrop>
  <LinksUpToDate>false</LinksUpToDate>
  <CharactersWithSpaces>4617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2021-05-26T00:18:00Z</dcterms:created>
  <dc:creator>亚亚</dc:creator>
  <cp:lastModifiedBy>Administrator</cp:lastModifiedBy>
  <cp:lastPrinted>2021-05-26T00:17:00Z</cp:lastPrinted>
  <dcterms:modified xsi:type="dcterms:W3CDTF">2021-05-26T02:37:35Z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