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bookmarkStart w:id="0" w:name="_GoBack"/>
      <w:bookmarkEnd w:id="0"/>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lang w:eastAsia="zh-CN"/>
        </w:rPr>
        <w:t>共青团襄垣县委</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8</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5"/>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val="en-US" w:eastAsia="zh-CN"/>
        </w:rPr>
        <w:t>共青团襄垣县委</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1)领导全县共青团的工作。</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2)领导和指导全县性青少年社会团体的工作。</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3)承担县委、县政府和有关方面委托的青少年工作事务,参与民主管理和民主监督。参与协调处理各种与青少年利益相关的工作。</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4)组织全县团员青年在经济建设中发挥先锋和突击队作用,完成县委、县政府和上级团委部署的以青年为主体的各项任务。</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5)调查青年思想动态和青年工作情况,研究青少年运动、青少年工作理论、青少年思想教育、青少年事业发展等项工作,为县委、县政府决策提供依据。</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6)负责全县团的组织建设、协助党组织管理、</w:t>
      </w:r>
      <w:r>
        <w:rPr>
          <w:rFonts w:hint="eastAsia" w:ascii="仿宋_GB2312" w:hAnsi="仿宋_GB2312" w:eastAsia="仿宋_GB2312" w:cs="仿宋_GB2312"/>
          <w:sz w:val="30"/>
          <w:szCs w:val="30"/>
          <w:lang w:eastAsia="zh-CN"/>
        </w:rPr>
        <w:t>选拔</w:t>
      </w:r>
      <w:r>
        <w:rPr>
          <w:rFonts w:hint="eastAsia" w:ascii="仿宋_GB2312" w:hAnsi="仿宋_GB2312" w:eastAsia="仿宋_GB2312" w:cs="仿宋_GB2312"/>
          <w:sz w:val="30"/>
          <w:szCs w:val="30"/>
        </w:rPr>
        <w:t>、培训团的干部。</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7)负责指导并组织全县青少年的思想理论教育,宣传文化活动和活动阵地建设,培养选拔、表彰并推荐优秀青年。</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8)负责全县青少年事业发展的管理工作,募集青少年事业发展经费。</w:t>
      </w:r>
    </w:p>
    <w:p>
      <w:pPr>
        <w:shd w:val="clear" w:color="auto" w:fill="FFFFFF"/>
        <w:spacing w:line="500" w:lineRule="atLeas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9)受县委的委托,领导全县少先队的工作。</w:t>
      </w:r>
    </w:p>
    <w:p>
      <w:pPr>
        <w:keepNext w:val="0"/>
        <w:keepLines w:val="0"/>
        <w:widowControl/>
        <w:suppressLineNumbers w:val="0"/>
        <w:ind w:firstLine="420" w:firstLineChars="200"/>
        <w:jc w:val="left"/>
        <w:rPr>
          <w:color w:val="5B9BD5" w:themeColor="accent1"/>
          <w14:textFill>
            <w14:solidFill>
              <w14:schemeClr w14:val="accent1"/>
            </w14:solidFill>
          </w14:textFill>
        </w:rPr>
      </w:pP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widowControl/>
        <w:spacing w:line="500" w:lineRule="exact"/>
        <w:ind w:firstLine="640" w:firstLineChars="200"/>
        <w:jc w:val="left"/>
        <w:rPr>
          <w:rFonts w:hint="eastAsia" w:ascii="方正仿宋_GBK" w:hAnsi="仿宋" w:eastAsia="方正仿宋_GBK" w:cs="Arial"/>
          <w:color w:val="333333"/>
          <w:kern w:val="0"/>
          <w:sz w:val="32"/>
          <w:szCs w:val="32"/>
        </w:rPr>
      </w:pPr>
      <w:r>
        <w:rPr>
          <w:rFonts w:hint="eastAsia" w:ascii="方正仿宋_GBK" w:hAnsi="仿宋" w:eastAsia="方正仿宋_GBK" w:cs="Arial"/>
          <w:color w:val="333333"/>
          <w:kern w:val="0"/>
          <w:sz w:val="32"/>
          <w:szCs w:val="32"/>
        </w:rPr>
        <w:t>根据上述职责,团县委机关设置二个职能股(室)：</w:t>
      </w:r>
    </w:p>
    <w:p>
      <w:pPr>
        <w:widowControl/>
        <w:spacing w:line="500" w:lineRule="exact"/>
        <w:ind w:firstLine="640" w:firstLineChars="200"/>
        <w:jc w:val="left"/>
        <w:rPr>
          <w:rFonts w:hint="eastAsia" w:ascii="方正仿宋_GBK" w:hAnsi="仿宋" w:eastAsia="方正仿宋_GBK" w:cs="Arial"/>
          <w:color w:val="333333"/>
          <w:kern w:val="0"/>
          <w:sz w:val="32"/>
          <w:szCs w:val="32"/>
        </w:rPr>
      </w:pPr>
      <w:r>
        <w:rPr>
          <w:rFonts w:hint="eastAsia" w:ascii="方正仿宋_GBK" w:hAnsi="仿宋" w:eastAsia="方正仿宋_GBK" w:cs="Arial"/>
          <w:color w:val="333333"/>
          <w:kern w:val="0"/>
          <w:sz w:val="32"/>
          <w:szCs w:val="32"/>
        </w:rPr>
        <w:t>(-)办公室(少工委办公室)</w:t>
      </w:r>
    </w:p>
    <w:p>
      <w:pPr>
        <w:widowControl/>
        <w:spacing w:line="500" w:lineRule="exact"/>
        <w:ind w:firstLine="640" w:firstLineChars="200"/>
        <w:jc w:val="left"/>
        <w:rPr>
          <w:rFonts w:hint="eastAsia" w:ascii="方正仿宋_GBK" w:hAnsi="仿宋" w:eastAsia="方正仿宋_GBK" w:cs="Arial"/>
          <w:color w:val="333333"/>
          <w:kern w:val="0"/>
          <w:sz w:val="32"/>
          <w:szCs w:val="32"/>
        </w:rPr>
      </w:pPr>
      <w:r>
        <w:rPr>
          <w:rFonts w:hint="eastAsia" w:ascii="方正仿宋_GBK" w:hAnsi="仿宋" w:eastAsia="方正仿宋_GBK" w:cs="Arial"/>
          <w:color w:val="333333"/>
          <w:kern w:val="0"/>
          <w:sz w:val="32"/>
          <w:szCs w:val="32"/>
        </w:rPr>
        <w:t>负责拟定年度工作计划,提交工作总结;协助单位组织全县团员青年的思想教育,团组织的文化活动和活动阵地建设;督促检查团县委工作部署的贯彻落实情况;负责机关的文秘、信访、档案和接待工作;负责机关行政事务的管理工作;负责信息工作;指导全县共青团青少年问题的调查研究,起草团县委的文件和有关文稿。指导全县少先队的工作。组织开展有利于少年儿童健康成长的活动;协调有关方面办理与全县少年儿童工作的相关事宜;抓好少先队辅导员队伍建设,负责县少工委的日常工作。</w:t>
      </w:r>
    </w:p>
    <w:p>
      <w:pPr>
        <w:widowControl/>
        <w:spacing w:line="500" w:lineRule="exact"/>
        <w:ind w:firstLine="640" w:firstLineChars="200"/>
        <w:jc w:val="left"/>
        <w:rPr>
          <w:rFonts w:hint="eastAsia" w:ascii="方正仿宋_GBK" w:hAnsi="仿宋" w:eastAsia="方正仿宋_GBK" w:cs="Arial"/>
          <w:color w:val="333333"/>
          <w:kern w:val="0"/>
          <w:sz w:val="32"/>
          <w:szCs w:val="32"/>
        </w:rPr>
      </w:pPr>
      <w:r>
        <w:rPr>
          <w:rFonts w:hint="eastAsia" w:ascii="方正仿宋_GBK" w:hAnsi="仿宋" w:eastAsia="方正仿宋_GBK" w:cs="Arial"/>
          <w:color w:val="333333"/>
          <w:kern w:val="0"/>
          <w:sz w:val="32"/>
          <w:szCs w:val="32"/>
        </w:rPr>
        <w:t>(二)综合股</w:t>
      </w:r>
    </w:p>
    <w:p>
      <w:pPr>
        <w:keepNext w:val="0"/>
        <w:keepLines w:val="0"/>
        <w:pageBreakBefore w:val="0"/>
        <w:widowControl/>
        <w:kinsoku/>
        <w:wordWrap/>
        <w:overflowPunct/>
        <w:topLinePunct w:val="0"/>
        <w:autoSpaceDE/>
        <w:autoSpaceDN/>
        <w:bidi w:val="0"/>
        <w:adjustRightInd/>
        <w:snapToGrid/>
        <w:spacing w:line="324" w:lineRule="atLeast"/>
        <w:ind w:firstLine="640" w:firstLineChars="200"/>
        <w:jc w:val="left"/>
        <w:textAlignment w:val="auto"/>
        <w:rPr>
          <w:rFonts w:hint="eastAsia" w:ascii="方正仿宋_GBK" w:hAnsi="仿宋" w:eastAsia="方正仿宋_GBK" w:cs="Arial"/>
          <w:color w:val="333333"/>
          <w:kern w:val="0"/>
          <w:sz w:val="32"/>
          <w:szCs w:val="32"/>
        </w:rPr>
      </w:pPr>
      <w:r>
        <w:rPr>
          <w:rFonts w:hint="eastAsia" w:ascii="方正仿宋_GBK" w:hAnsi="仿宋" w:eastAsia="方正仿宋_GBK" w:cs="Arial"/>
          <w:color w:val="333333"/>
          <w:kern w:val="0"/>
          <w:sz w:val="32"/>
          <w:szCs w:val="32"/>
        </w:rPr>
        <w:t>指导全县共青团的基层组织建设、团干部队伍建设和团员队伍建设;协助党组织管理乡镇一级团组织的领导干部。组织指导全县团员青年的思想教育和全县团组织的文化活动。组织指导全县青工、青农、学校等战线的青年工作的开展。</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现有行政编制5名，其中，行政编制5名。实有4人，其中公务员4名。</w:t>
      </w:r>
    </w:p>
    <w:p>
      <w:pPr>
        <w:ind w:firstLine="645"/>
        <w:rPr>
          <w:rFonts w:hint="eastAsia" w:ascii="仿宋_GB2312" w:hAnsi="仿宋" w:eastAsia="仿宋_GB2312" w:cs="宋体"/>
          <w:color w:val="auto"/>
          <w:kern w:val="0"/>
          <w:sz w:val="32"/>
          <w:szCs w:val="32"/>
          <w:lang w:eastAsia="zh-CN"/>
        </w:rPr>
      </w:pPr>
      <w:r>
        <w:rPr>
          <w:rFonts w:hint="eastAsia" w:ascii="仿宋" w:hAnsi="仿宋" w:eastAsia="仿宋" w:cs="仿宋_GB2312"/>
          <w:color w:val="auto"/>
          <w:kern w:val="2"/>
          <w:sz w:val="32"/>
          <w:szCs w:val="32"/>
          <w:lang w:val="en-US" w:eastAsia="zh-CN" w:bidi="ar"/>
        </w:rPr>
        <w:t>（三）</w:t>
      </w:r>
      <w:r>
        <w:rPr>
          <w:rFonts w:hint="eastAsia" w:ascii="仿宋_GB2312" w:hAnsi="仿宋" w:eastAsia="仿宋_GB2312" w:cstheme="minorEastAsia"/>
          <w:color w:val="auto"/>
          <w:sz w:val="32"/>
          <w:szCs w:val="32"/>
        </w:rPr>
        <w:t>本套部门决算汇编范围的单位共1个，包括：</w:t>
      </w:r>
      <w:r>
        <w:rPr>
          <w:rFonts w:hint="eastAsia" w:ascii="仿宋_GB2312" w:eastAsia="仿宋_GB2312"/>
          <w:color w:val="auto"/>
          <w:sz w:val="32"/>
          <w:szCs w:val="32"/>
          <w:lang w:val="en-US" w:eastAsia="zh-CN"/>
        </w:rPr>
        <w:t>共青团襄垣县委</w:t>
      </w:r>
      <w:r>
        <w:rPr>
          <w:rFonts w:hint="eastAsia" w:ascii="仿宋_GB2312" w:eastAsia="仿宋_GB2312"/>
          <w:color w:val="auto"/>
          <w:sz w:val="32"/>
          <w:szCs w:val="32"/>
          <w:lang w:eastAsia="zh-CN"/>
        </w:rPr>
        <w:t>。</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val="0"/>
          <w:bCs/>
          <w:sz w:val="32"/>
          <w:szCs w:val="32"/>
        </w:rPr>
        <w:t>一、收入决算情况说明</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auto"/>
          <w:sz w:val="32"/>
          <w:szCs w:val="32"/>
          <w:highlight w:val="none"/>
          <w:lang w:val="en-US" w:eastAsia="zh-CN"/>
        </w:rPr>
        <w:t>71.19</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rPr>
        <w:t>，其中年初结转和结余</w:t>
      </w:r>
      <w:r>
        <w:rPr>
          <w:rFonts w:hint="eastAsia" w:ascii="仿宋_GB2312" w:hAnsi="仿宋" w:eastAsia="仿宋_GB2312" w:cs="仿宋"/>
          <w:color w:val="auto"/>
          <w:sz w:val="32"/>
          <w:szCs w:val="32"/>
          <w:lang w:val="en-US" w:eastAsia="zh-CN"/>
        </w:rPr>
        <w:t>9.85</w:t>
      </w:r>
      <w:r>
        <w:rPr>
          <w:rFonts w:hint="eastAsia" w:ascii="仿宋_GB2312" w:hAnsi="仿宋" w:eastAsia="仿宋_GB2312" w:cs="仿宋"/>
          <w:color w:val="auto"/>
          <w:sz w:val="32"/>
          <w:szCs w:val="32"/>
        </w:rPr>
        <w:t>万元；本年收入合计</w:t>
      </w:r>
      <w:r>
        <w:rPr>
          <w:rFonts w:hint="eastAsia" w:ascii="仿宋_GB2312" w:hAnsi="仿宋" w:eastAsia="仿宋_GB2312" w:cs="仿宋"/>
          <w:color w:val="auto"/>
          <w:sz w:val="32"/>
          <w:szCs w:val="32"/>
          <w:lang w:val="en-US" w:eastAsia="zh-CN"/>
        </w:rPr>
        <w:t>61.34</w:t>
      </w:r>
      <w:r>
        <w:rPr>
          <w:rFonts w:hint="eastAsia" w:ascii="仿宋_GB2312" w:hAnsi="仿宋" w:eastAsia="仿宋_GB2312" w:cs="仿宋"/>
          <w:color w:val="auto"/>
          <w:sz w:val="32"/>
          <w:szCs w:val="32"/>
        </w:rPr>
        <w:t>万元，主要原因是：严格按照省市县接待标准，</w:t>
      </w:r>
      <w:r>
        <w:rPr>
          <w:rFonts w:hint="eastAsia" w:ascii="仿宋_GB2312" w:hAnsi="仿宋" w:eastAsia="仿宋_GB2312" w:cs="仿宋"/>
          <w:color w:val="auto"/>
          <w:sz w:val="32"/>
          <w:szCs w:val="32"/>
          <w:lang w:eastAsia="zh-CN"/>
        </w:rPr>
        <w:t>中央八项规定</w:t>
      </w:r>
      <w:r>
        <w:rPr>
          <w:rFonts w:hint="eastAsia" w:ascii="仿宋_GB2312" w:hAnsi="仿宋" w:eastAsia="仿宋_GB2312" w:cs="仿宋"/>
          <w:color w:val="auto"/>
          <w:sz w:val="32"/>
          <w:szCs w:val="32"/>
        </w:rPr>
        <w:t>勤俭节约。</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本年收入的具体构成为：财政拨款收入</w:t>
      </w:r>
      <w:r>
        <w:rPr>
          <w:rFonts w:hint="eastAsia" w:ascii="仿宋_GB2312" w:hAnsi="仿宋" w:eastAsia="仿宋_GB2312" w:cs="仿宋"/>
          <w:color w:val="auto"/>
          <w:sz w:val="32"/>
          <w:szCs w:val="32"/>
          <w:lang w:val="en-US" w:eastAsia="zh-CN"/>
        </w:rPr>
        <w:t>61.14</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85.89</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其他收入10.05</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14.11</w:t>
      </w:r>
      <w:r>
        <w:rPr>
          <w:rFonts w:hint="eastAsia" w:ascii="仿宋_GB2312" w:hAnsi="仿宋" w:eastAsia="仿宋_GB2312" w:cs="仿宋"/>
          <w:color w:val="auto"/>
          <w:sz w:val="32"/>
          <w:szCs w:val="32"/>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年度支出总计</w:t>
      </w:r>
      <w:r>
        <w:rPr>
          <w:rFonts w:hint="eastAsia" w:ascii="仿宋_GB2312" w:eastAsia="仿宋_GB2312" w:hAnsiTheme="minorEastAsia" w:cstheme="minorEastAsia"/>
          <w:color w:val="auto"/>
          <w:sz w:val="32"/>
          <w:szCs w:val="32"/>
          <w:lang w:val="en-US" w:eastAsia="zh-CN"/>
        </w:rPr>
        <w:t>71.19</w:t>
      </w:r>
      <w:r>
        <w:rPr>
          <w:rFonts w:hint="eastAsia" w:ascii="仿宋_GB2312" w:eastAsia="仿宋_GB2312" w:hAnsiTheme="minorEastAsia" w:cstheme="minorEastAsia"/>
          <w:color w:val="auto"/>
          <w:sz w:val="32"/>
          <w:szCs w:val="32"/>
        </w:rPr>
        <w:t>万元，其中本年支出合计</w:t>
      </w:r>
      <w:r>
        <w:rPr>
          <w:rFonts w:hint="eastAsia" w:ascii="仿宋_GB2312" w:eastAsia="仿宋_GB2312" w:hAnsiTheme="minorEastAsia" w:cstheme="minorEastAsia"/>
          <w:color w:val="auto"/>
          <w:sz w:val="32"/>
          <w:szCs w:val="32"/>
          <w:lang w:val="en-US" w:eastAsia="zh-CN"/>
        </w:rPr>
        <w:t>65.91</w:t>
      </w:r>
      <w:r>
        <w:rPr>
          <w:rFonts w:hint="eastAsia" w:ascii="仿宋_GB2312" w:eastAsia="仿宋_GB2312" w:hAnsiTheme="minorEastAsia" w:cstheme="minorEastAsia"/>
          <w:color w:val="auto"/>
          <w:sz w:val="32"/>
          <w:szCs w:val="32"/>
        </w:rPr>
        <w:t>万元，年末结转和结余</w:t>
      </w:r>
      <w:r>
        <w:rPr>
          <w:rFonts w:hint="eastAsia" w:ascii="仿宋_GB2312" w:eastAsia="仿宋_GB2312" w:hAnsiTheme="minorEastAsia" w:cstheme="minorEastAsia"/>
          <w:color w:val="auto"/>
          <w:sz w:val="32"/>
          <w:szCs w:val="32"/>
          <w:lang w:val="en-US" w:eastAsia="zh-CN"/>
        </w:rPr>
        <w:t>5.28</w:t>
      </w:r>
      <w:r>
        <w:rPr>
          <w:rFonts w:hint="eastAsia" w:ascii="仿宋_GB2312" w:eastAsia="仿宋_GB2312" w:hAnsiTheme="minorEastAsia" w:cstheme="minorEastAsia"/>
          <w:color w:val="auto"/>
          <w:sz w:val="32"/>
          <w:szCs w:val="32"/>
        </w:rPr>
        <w:t>万元。</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auto"/>
          <w:sz w:val="32"/>
          <w:szCs w:val="32"/>
          <w:lang w:val="en-US" w:eastAsia="zh-CN"/>
        </w:rPr>
        <w:t>47.79</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67.13</w:t>
      </w:r>
      <w:r>
        <w:rPr>
          <w:rFonts w:hint="eastAsia" w:ascii="仿宋_GB2312" w:eastAsia="仿宋_GB2312" w:hAnsiTheme="minorEastAsia" w:cstheme="minorEastAsia"/>
          <w:color w:val="auto"/>
          <w:sz w:val="32"/>
          <w:szCs w:val="32"/>
        </w:rPr>
        <w:t>%；项目支出</w:t>
      </w:r>
      <w:r>
        <w:rPr>
          <w:rFonts w:hint="eastAsia" w:ascii="仿宋_GB2312" w:eastAsia="仿宋_GB2312" w:hAnsiTheme="minorEastAsia" w:cstheme="minorEastAsia"/>
          <w:color w:val="auto"/>
          <w:sz w:val="32"/>
          <w:szCs w:val="32"/>
          <w:lang w:val="en-US" w:eastAsia="zh-CN"/>
        </w:rPr>
        <w:t>18.12</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25.45</w:t>
      </w:r>
      <w:r>
        <w:rPr>
          <w:rFonts w:hint="eastAsia" w:ascii="仿宋_GB2312" w:eastAsia="仿宋_GB2312" w:hAnsiTheme="minorEastAsia" w:cstheme="minorEastAsia"/>
          <w:color w:val="auto"/>
          <w:sz w:val="32"/>
          <w:szCs w:val="32"/>
        </w:rPr>
        <w:t>%；年末结转和结余</w:t>
      </w:r>
      <w:r>
        <w:rPr>
          <w:rFonts w:hint="eastAsia" w:ascii="仿宋_GB2312" w:eastAsia="仿宋_GB2312" w:hAnsiTheme="minorEastAsia" w:cstheme="minorEastAsia"/>
          <w:color w:val="auto"/>
          <w:sz w:val="32"/>
          <w:szCs w:val="32"/>
          <w:lang w:val="en-US" w:eastAsia="zh-CN"/>
        </w:rPr>
        <w:t>5.28</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7.4</w:t>
      </w:r>
      <w:r>
        <w:rPr>
          <w:rFonts w:hint="eastAsia" w:ascii="仿宋_GB2312" w:eastAsia="仿宋_GB2312" w:hAnsiTheme="minorEastAsia" w:cstheme="minorEastAsia"/>
          <w:color w:val="auto"/>
          <w:sz w:val="32"/>
          <w:szCs w:val="32"/>
        </w:rPr>
        <w:t>%。</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年度财政拨款本年支出决算数为</w:t>
      </w:r>
      <w:r>
        <w:rPr>
          <w:rFonts w:hint="eastAsia" w:ascii="仿宋_GB2312" w:eastAsia="仿宋_GB2312" w:hAnsiTheme="minorEastAsia" w:cstheme="minorEastAsia"/>
          <w:color w:val="auto"/>
          <w:sz w:val="32"/>
          <w:szCs w:val="32"/>
          <w:lang w:val="en-US" w:eastAsia="zh-CN"/>
        </w:rPr>
        <w:t>60.95</w:t>
      </w:r>
      <w:r>
        <w:rPr>
          <w:rFonts w:hint="eastAsia" w:ascii="仿宋_GB2312" w:eastAsia="仿宋_GB2312" w:hAnsiTheme="minorEastAsia" w:cstheme="minorEastAsia"/>
          <w:color w:val="auto"/>
          <w:sz w:val="32"/>
          <w:szCs w:val="32"/>
        </w:rPr>
        <w:t>万元。其中：一般公共服务支出决算数为</w:t>
      </w:r>
      <w:r>
        <w:rPr>
          <w:rFonts w:hint="eastAsia" w:ascii="仿宋_GB2312" w:eastAsia="仿宋_GB2312" w:hAnsiTheme="minorEastAsia" w:cstheme="minorEastAsia"/>
          <w:color w:val="auto"/>
          <w:sz w:val="32"/>
          <w:szCs w:val="32"/>
          <w:lang w:val="en-US" w:eastAsia="zh-CN"/>
        </w:rPr>
        <w:t>60.95</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val="en-US" w:eastAsia="zh-CN"/>
        </w:rPr>
        <w:t>。</w:t>
      </w:r>
    </w:p>
    <w:p>
      <w:pPr>
        <w:ind w:firstLine="640" w:firstLineChars="200"/>
        <w:rPr>
          <w:rFonts w:hint="default" w:ascii="仿宋_GB2312" w:eastAsia="仿宋_GB2312" w:hAnsiTheme="minorEastAsia" w:cstheme="minorEastAsia"/>
          <w:color w:val="auto"/>
          <w:sz w:val="32"/>
          <w:szCs w:val="32"/>
          <w:lang w:val="en-US"/>
        </w:rPr>
      </w:pPr>
      <w:r>
        <w:rPr>
          <w:rFonts w:hint="eastAsia" w:ascii="仿宋_GB2312" w:eastAsia="仿宋_GB2312" w:hAnsiTheme="minorEastAsia" w:cstheme="minorEastAsia"/>
          <w:color w:val="auto"/>
          <w:sz w:val="32"/>
          <w:szCs w:val="32"/>
        </w:rPr>
        <w:t>四、一般公共预算财政拨款基本支出决算</w:t>
      </w:r>
      <w:r>
        <w:rPr>
          <w:rFonts w:hint="eastAsia" w:ascii="仿宋_GB2312" w:eastAsia="仿宋_GB2312" w:hAnsiTheme="minorEastAsia" w:cstheme="minorEastAsia"/>
          <w:color w:val="auto"/>
          <w:sz w:val="32"/>
          <w:szCs w:val="32"/>
          <w:lang w:eastAsia="zh-CN"/>
        </w:rPr>
        <w:t>表公开到经济性质分类款级科目（</w:t>
      </w:r>
      <w:r>
        <w:rPr>
          <w:rFonts w:hint="eastAsia" w:ascii="仿宋_GB2312" w:eastAsia="仿宋_GB2312" w:hAnsiTheme="minorEastAsia" w:cstheme="minorEastAsia"/>
          <w:color w:val="auto"/>
          <w:sz w:val="32"/>
          <w:szCs w:val="32"/>
          <w:lang w:val="en-US" w:eastAsia="zh-CN"/>
        </w:rPr>
        <w:t>06表）</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年度一般公共预算财政拨款基本支出</w:t>
      </w:r>
      <w:r>
        <w:rPr>
          <w:rFonts w:hint="eastAsia" w:ascii="仿宋_GB2312" w:eastAsia="仿宋_GB2312" w:hAnsiTheme="minorEastAsia" w:cstheme="minorEastAsia"/>
          <w:color w:val="auto"/>
          <w:sz w:val="32"/>
          <w:szCs w:val="32"/>
          <w:lang w:val="en-US" w:eastAsia="zh-CN"/>
        </w:rPr>
        <w:t>60.95</w:t>
      </w:r>
      <w:r>
        <w:rPr>
          <w:rFonts w:hint="eastAsia" w:ascii="仿宋_GB2312" w:eastAsia="仿宋_GB2312" w:hAnsiTheme="minorEastAsia" w:cstheme="minorEastAsia"/>
          <w:color w:val="auto"/>
          <w:sz w:val="32"/>
          <w:szCs w:val="32"/>
        </w:rPr>
        <w:t>万元，其中：</w:t>
      </w:r>
    </w:p>
    <w:p>
      <w:pPr>
        <w:numPr>
          <w:ilvl w:val="0"/>
          <w:numId w:val="1"/>
        </w:num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工资福利支出</w:t>
      </w:r>
      <w:r>
        <w:rPr>
          <w:rFonts w:hint="eastAsia" w:ascii="仿宋_GB2312" w:eastAsia="仿宋_GB2312" w:hAnsiTheme="minorEastAsia" w:cstheme="minorEastAsia"/>
          <w:color w:val="auto"/>
          <w:sz w:val="32"/>
          <w:szCs w:val="32"/>
          <w:lang w:val="en-US" w:eastAsia="zh-CN"/>
        </w:rPr>
        <w:t>34.51</w:t>
      </w:r>
      <w:r>
        <w:rPr>
          <w:rFonts w:hint="eastAsia" w:ascii="仿宋_GB2312" w:eastAsia="仿宋_GB2312" w:hAnsiTheme="minorEastAsia" w:cstheme="minorEastAsia"/>
          <w:color w:val="auto"/>
          <w:sz w:val="32"/>
          <w:szCs w:val="32"/>
        </w:rPr>
        <w:t>万元。</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（二）商品和服务支出</w:t>
      </w:r>
      <w:r>
        <w:rPr>
          <w:rFonts w:hint="eastAsia" w:ascii="仿宋_GB2312" w:eastAsia="仿宋_GB2312" w:hAnsiTheme="minorEastAsia" w:cstheme="minorEastAsia"/>
          <w:color w:val="auto"/>
          <w:sz w:val="32"/>
          <w:szCs w:val="32"/>
          <w:lang w:val="en-US" w:eastAsia="zh-CN"/>
        </w:rPr>
        <w:t>25.48</w:t>
      </w:r>
      <w:r>
        <w:rPr>
          <w:rFonts w:hint="eastAsia" w:ascii="仿宋_GB2312" w:eastAsia="仿宋_GB2312" w:hAnsiTheme="minorEastAsia" w:cstheme="minorEastAsia"/>
          <w:color w:val="auto"/>
          <w:sz w:val="32"/>
          <w:szCs w:val="32"/>
        </w:rPr>
        <w:t>万元。</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（三）对个人和家庭补助支出</w:t>
      </w:r>
      <w:r>
        <w:rPr>
          <w:rFonts w:hint="eastAsia" w:ascii="仿宋_GB2312" w:eastAsia="仿宋_GB2312" w:hAnsiTheme="minorEastAsia" w:cstheme="minorEastAsia"/>
          <w:color w:val="auto"/>
          <w:sz w:val="32"/>
          <w:szCs w:val="32"/>
          <w:lang w:val="en-US" w:eastAsia="zh-CN"/>
        </w:rPr>
        <w:t>0.06</w:t>
      </w:r>
      <w:r>
        <w:rPr>
          <w:rFonts w:hint="eastAsia" w:ascii="仿宋_GB2312" w:eastAsia="仿宋_GB2312" w:hAnsiTheme="minorEastAsia" w:cstheme="minorEastAsia"/>
          <w:color w:val="auto"/>
          <w:sz w:val="32"/>
          <w:szCs w:val="32"/>
        </w:rPr>
        <w:t>万元。</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val="en-US" w:eastAsia="zh-CN"/>
        </w:rPr>
        <w:t>本部门2018年度一般公共预算财政拨款“三公”经费支出年初预算数为0万元，决算数为0万元，完成预算的0%，决算数较2017年减少0万元，保持不变，其中：</w:t>
      </w:r>
    </w:p>
    <w:p>
      <w:pPr>
        <w:numPr>
          <w:ilvl w:val="0"/>
          <w:numId w:val="2"/>
        </w:num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w:t>
      </w:r>
    </w:p>
    <w:p>
      <w:pPr>
        <w:numPr>
          <w:ilvl w:val="0"/>
          <w:numId w:val="2"/>
        </w:num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公务接待费支出年初预算数为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val="en-US" w:eastAsia="zh-CN"/>
        </w:rPr>
        <w:t>保持不变</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无变化</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sz w:val="32"/>
          <w:szCs w:val="32"/>
          <w:lang w:eastAsia="zh-CN"/>
        </w:rPr>
        <w:t>本年度国内公务接待共</w:t>
      </w:r>
      <w:r>
        <w:rPr>
          <w:rFonts w:hint="eastAsia" w:ascii="仿宋_GB2312" w:eastAsia="仿宋_GB2312" w:hAnsiTheme="minorEastAsia" w:cstheme="minorEastAsia"/>
          <w:sz w:val="32"/>
          <w:szCs w:val="32"/>
          <w:lang w:val="en-US" w:eastAsia="zh-CN"/>
        </w:rPr>
        <w:t>0批次。</w:t>
      </w:r>
    </w:p>
    <w:p>
      <w:pPr>
        <w:numPr>
          <w:ilvl w:val="0"/>
          <w:numId w:val="2"/>
        </w:num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公务用车购置及运行维护费支出0万元，其中公务用车购置年初预算数为0万元，决算数为0万元，完成预算的0%，决算数较201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年增加（减少）0万元，增长（下降）0%；公务用车运行维护费支出年初预算数为0万元，决算数为0万元，完成预算的0%，决算数较201</w:t>
      </w:r>
      <w:r>
        <w:rPr>
          <w:rFonts w:hint="eastAsia" w:ascii="仿宋_GB2312" w:eastAsia="仿宋_GB2312" w:hAnsiTheme="minorEastAsia" w:cstheme="minorEastAsia"/>
          <w:sz w:val="32"/>
          <w:szCs w:val="32"/>
          <w:lang w:val="en-US" w:eastAsia="zh-CN"/>
        </w:rPr>
        <w:t>7</w:t>
      </w:r>
      <w:r>
        <w:rPr>
          <w:rFonts w:hint="eastAsia" w:ascii="仿宋_GB2312" w:eastAsia="仿宋_GB2312" w:hAnsiTheme="minorEastAsia" w:cstheme="minorEastAsia"/>
          <w:sz w:val="32"/>
          <w:szCs w:val="32"/>
        </w:rPr>
        <w:t>年增加（减少）0万元，增长（下降）0%。</w:t>
      </w:r>
      <w:r>
        <w:rPr>
          <w:rFonts w:hint="eastAsia" w:ascii="仿宋_GB2312" w:eastAsia="仿宋_GB2312" w:hAnsiTheme="minorEastAsia" w:cstheme="minorEastAsia"/>
          <w:sz w:val="32"/>
          <w:szCs w:val="32"/>
          <w:lang w:eastAsia="zh-CN"/>
        </w:rPr>
        <w:t>本年度公务用车购置数</w:t>
      </w:r>
      <w:r>
        <w:rPr>
          <w:rFonts w:hint="eastAsia" w:ascii="仿宋_GB2312" w:eastAsia="仿宋_GB2312" w:hAnsiTheme="minorEastAsia" w:cstheme="minorEastAsia"/>
          <w:sz w:val="32"/>
          <w:szCs w:val="32"/>
          <w:lang w:val="en-US" w:eastAsia="zh-CN"/>
        </w:rPr>
        <w:t>0，公务用车保有量0。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六、政府采购支出情况说明</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年度政府采购支出</w:t>
      </w:r>
      <w:r>
        <w:rPr>
          <w:rFonts w:hint="eastAsia" w:ascii="仿宋_GB2312" w:eastAsia="仿宋_GB2312" w:hAnsiTheme="minorEastAsia" w:cstheme="minorEastAsia"/>
          <w:color w:val="auto"/>
          <w:sz w:val="32"/>
          <w:szCs w:val="32"/>
          <w:lang w:val="en-US" w:eastAsia="zh-CN"/>
        </w:rPr>
        <w:t>总额0万元，其中：政府采购货物支出0万元、政府采购工程支出0万元、政府采购服务支出0万元。授予中小企业合同金额0万元，占政府采购支出总额的0%。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hint="eastAsia" w:ascii="仿宋_GB2312" w:hAnsi="仿宋" w:eastAsia="仿宋_GB2312" w:cstheme="minorEastAsia"/>
          <w:color w:val="5B9BD5" w:themeColor="accent1"/>
          <w:sz w:val="32"/>
          <w:szCs w:val="32"/>
          <w:lang w:eastAsia="zh-CN"/>
          <w14:textFill>
            <w14:solidFill>
              <w14:schemeClr w14:val="accent1"/>
            </w14:solidFill>
          </w14:textFill>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年度机关运行经</w:t>
      </w:r>
      <w:r>
        <w:rPr>
          <w:rFonts w:hint="eastAsia" w:ascii="仿宋_GB2312" w:eastAsia="仿宋_GB2312" w:hAnsiTheme="minorEastAsia" w:cstheme="minorEastAsia"/>
          <w:color w:val="auto"/>
          <w:sz w:val="32"/>
          <w:szCs w:val="32"/>
          <w:lang w:val="en-US" w:eastAsia="zh-CN"/>
        </w:rPr>
        <w:t>费支出8.25万元。</w:t>
      </w:r>
    </w:p>
    <w:p>
      <w:pPr>
        <w:ind w:firstLine="640" w:firstLineChars="200"/>
        <w:rPr>
          <w:rFonts w:hint="default" w:ascii="楷体" w:hAnsi="楷体" w:eastAsia="楷体" w:cstheme="minorEastAsia"/>
          <w:b/>
          <w:color w:val="FF0000"/>
          <w:sz w:val="32"/>
          <w:szCs w:val="32"/>
          <w:lang w:val="en-US" w:eastAsia="zh-CN"/>
        </w:rPr>
      </w:pPr>
      <w:r>
        <w:rPr>
          <w:rStyle w:val="8"/>
          <w:rFonts w:hint="eastAsia" w:ascii="楷体" w:hAnsi="楷体" w:eastAsia="楷体" w:cs="宋体"/>
          <w:b w:val="0"/>
          <w:bCs/>
          <w:color w:val="333333"/>
          <w:sz w:val="32"/>
          <w:szCs w:val="32"/>
        </w:rPr>
        <w:t>八、国有资产占用情况说明</w:t>
      </w:r>
    </w:p>
    <w:p>
      <w:pPr>
        <w:pStyle w:val="5"/>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本部门共有车辆数合计0辆。；单价50万元以上通用设备0台/套，共计0元；单价100万元以上专用设备0台/套，0元。</w:t>
      </w:r>
    </w:p>
    <w:p>
      <w:pPr>
        <w:ind w:firstLine="640" w:firstLineChars="200"/>
        <w:rPr>
          <w:rStyle w:val="8"/>
          <w:rFonts w:hint="eastAsia" w:ascii="楷体" w:hAnsi="楷体" w:eastAsia="楷体" w:cs="宋体"/>
          <w:b w:val="0"/>
          <w:bCs/>
          <w:color w:val="333333"/>
          <w:kern w:val="0"/>
          <w:sz w:val="32"/>
          <w:szCs w:val="32"/>
          <w:lang w:val="en-US" w:eastAsia="zh-CN" w:bidi="ar-SA"/>
        </w:rPr>
      </w:pPr>
      <w:r>
        <w:rPr>
          <w:rStyle w:val="8"/>
          <w:rFonts w:hint="eastAsia" w:ascii="楷体" w:hAnsi="楷体" w:eastAsia="楷体" w:cs="宋体"/>
          <w:b w:val="0"/>
          <w:bCs/>
          <w:color w:val="333333"/>
          <w:kern w:val="0"/>
          <w:sz w:val="32"/>
          <w:szCs w:val="32"/>
          <w:lang w:val="en-US" w:eastAsia="zh-CN" w:bidi="ar-SA"/>
        </w:rPr>
        <w:t>九、重点绩效评价结果等预算绩效情况说明</w:t>
      </w:r>
    </w:p>
    <w:p>
      <w:pPr>
        <w:pStyle w:val="5"/>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1629E"/>
    <w:multiLevelType w:val="singleLevel"/>
    <w:tmpl w:val="DCA1629E"/>
    <w:lvl w:ilvl="0" w:tentative="0">
      <w:start w:val="1"/>
      <w:numFmt w:val="chineseCounting"/>
      <w:suff w:val="nothing"/>
      <w:lvlText w:val="（%1）"/>
      <w:lvlJc w:val="left"/>
      <w:rPr>
        <w:rFonts w:hint="eastAsia"/>
      </w:rPr>
    </w:lvl>
  </w:abstractNum>
  <w:abstractNum w:abstractNumId="1">
    <w:nsid w:val="FF867C84"/>
    <w:multiLevelType w:val="singleLevel"/>
    <w:tmpl w:val="FF867C8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mNjFmNjY0YTJjMzVjZWVkMmFlMTUxMDA0OTA4MTAifQ=="/>
  </w:docVars>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45121B2"/>
    <w:rsid w:val="05E42E29"/>
    <w:rsid w:val="0C5A5250"/>
    <w:rsid w:val="0C64513E"/>
    <w:rsid w:val="0DE649EC"/>
    <w:rsid w:val="0EE25EB1"/>
    <w:rsid w:val="10CB3E8D"/>
    <w:rsid w:val="15261B29"/>
    <w:rsid w:val="17BF2547"/>
    <w:rsid w:val="1B4A6025"/>
    <w:rsid w:val="1E107510"/>
    <w:rsid w:val="209E0EC3"/>
    <w:rsid w:val="22140CC1"/>
    <w:rsid w:val="2A937DAC"/>
    <w:rsid w:val="2DB60033"/>
    <w:rsid w:val="2F754CA8"/>
    <w:rsid w:val="341824CB"/>
    <w:rsid w:val="343F3937"/>
    <w:rsid w:val="34D53928"/>
    <w:rsid w:val="37015ED3"/>
    <w:rsid w:val="3F5C42DA"/>
    <w:rsid w:val="43E475B8"/>
    <w:rsid w:val="458B37F5"/>
    <w:rsid w:val="48832669"/>
    <w:rsid w:val="48E87EB6"/>
    <w:rsid w:val="4A4F3891"/>
    <w:rsid w:val="4D9B3CEE"/>
    <w:rsid w:val="4E9E4F3F"/>
    <w:rsid w:val="4F7D1550"/>
    <w:rsid w:val="52567629"/>
    <w:rsid w:val="55820964"/>
    <w:rsid w:val="582B68F4"/>
    <w:rsid w:val="5D083F24"/>
    <w:rsid w:val="60860A87"/>
    <w:rsid w:val="60B46440"/>
    <w:rsid w:val="635C762A"/>
    <w:rsid w:val="71FC58C7"/>
    <w:rsid w:val="754F6154"/>
    <w:rsid w:val="76F01251"/>
    <w:rsid w:val="7C7014AB"/>
    <w:rsid w:val="7D70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3391</Words>
  <Characters>3561</Characters>
  <Lines>27</Lines>
  <Paragraphs>7</Paragraphs>
  <TotalTime>33</TotalTime>
  <ScaleCrop>false</ScaleCrop>
  <LinksUpToDate>false</LinksUpToDate>
  <CharactersWithSpaces>3622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cp:lastModifiedBy>
  <cp:lastPrinted>2019-09-11T06:01:00Z</cp:lastPrinted>
  <dcterms:modified xsi:type="dcterms:W3CDTF">2023-05-23T11:27:46Z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05B5C260C4544EF8A9E50D4F1E2FDC95</vt:lpwstr>
  </property>
  <property fmtid="{D5CDD505-2E9C-101B-9397-08002B2CF9AE}" pid="4" name="KSOSaveFontToCloudKey">
    <vt:lpwstr>442561868_btnclosed</vt:lpwstr>
  </property>
</Properties>
</file>