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eastAsia="zh-CN"/>
        </w:rPr>
        <w:t>治超事务中心</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9</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eastAsia="zh-CN"/>
        </w:rPr>
        <w:t>治超事务中心</w:t>
      </w:r>
      <w:r>
        <w:rPr>
          <w:rFonts w:hint="eastAsia" w:ascii="黑体" w:hAnsi="黑体" w:eastAsia="黑体" w:cs="黑体"/>
          <w:b/>
          <w:bCs/>
          <w:sz w:val="32"/>
          <w:szCs w:val="32"/>
          <w:lang w:eastAsia="zh-CN"/>
        </w:rPr>
        <w:t>部门</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1、在领导组领导下负责组织、协调、督导全县治理车辆超限超载各项具体工作的贯彻落实。</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2、负责收集、统计、汇总、分析全县超限超载工作信息，定期编写全县治超工作情况通报，及时向县政府报告有关情况，并向市治超办上报统计信息。</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3、加强与成员单位的协调和联络，严格治超执法人员培训、教育管理，及时解决工作中出现的问题，妥善处理好人民群众举报、投诉等信访事件，加强对路面稽查、治超站点、货运源头治理工作的执法人员的管理和监督。</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4、负责有关会议的筹备和相关文件的起草，承办领导组交办的日常工作。</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5、加强与省、市主管部门的联系，完成上级要求督办、交办的责任倒查案件，管理、维护好治超科技信息平台。</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6、协调领导组各成员单位工作，督促各成员单位发挥自身职能作用，确保各项治超工作任务的落实。</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7、加强本单位的安全、应急管理工作。</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8、承办县委、县政府及上级交办的其他工作。</w:t>
      </w:r>
    </w:p>
    <w:p>
      <w:pPr>
        <w:keepNext w:val="0"/>
        <w:keepLines w:val="0"/>
        <w:widowControl/>
        <w:suppressLineNumbers w:val="0"/>
        <w:ind w:firstLine="420" w:firstLineChars="200"/>
        <w:jc w:val="left"/>
        <w:rPr>
          <w:color w:val="5B9BD5" w:themeColor="accent1"/>
          <w14:textFill>
            <w14:solidFill>
              <w14:schemeClr w14:val="accent1"/>
            </w14:solidFill>
          </w14:textFill>
        </w:rPr>
      </w:pP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0"/>
          <w:szCs w:val="30"/>
          <w:lang w:val="en-US" w:eastAsia="zh-CN" w:bidi="ar"/>
        </w:rPr>
        <w:t>襄垣县治超事务中心机关内设3个职能股室，职能股室分别为：综合股、稽查股、信息股</w:t>
      </w:r>
      <w:r>
        <w:rPr>
          <w:rFonts w:hint="eastAsia" w:ascii="仿宋" w:hAnsi="仿宋" w:eastAsia="仿宋" w:cs="仿宋_GB2312"/>
          <w:color w:val="auto"/>
          <w:kern w:val="2"/>
          <w:sz w:val="32"/>
          <w:szCs w:val="32"/>
          <w:lang w:val="en-US" w:eastAsia="zh-CN" w:bidi="ar"/>
        </w:rPr>
        <w:t>。现有全额事业编制4名，因工作量大的原因，从相关单位抽调有5名工作人员，其中交运局2名，运管1名，公路段1名，交警队1名。</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eastAsia"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 w:hAnsi="仿宋" w:eastAsia="仿宋" w:cs="仿宋_GB2312"/>
          <w:color w:val="auto"/>
          <w:kern w:val="2"/>
          <w:sz w:val="32"/>
          <w:szCs w:val="32"/>
          <w:lang w:val="en-US" w:eastAsia="zh-CN" w:bidi="ar"/>
        </w:rPr>
        <w:t>现有全额事业编制5名，其中，正科编制1名，科员编制4名。实有4人，其中正科编制0名，科员编制4名。</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kern w:val="2"/>
          <w:sz w:val="32"/>
          <w:szCs w:val="32"/>
          <w:lang w:val="en-US" w:eastAsia="zh-CN" w:bidi="ar"/>
        </w:rPr>
        <w:t>（三）</w:t>
      </w:r>
      <w:r>
        <w:rPr>
          <w:rFonts w:hint="eastAsia" w:ascii="仿宋" w:hAnsi="仿宋" w:eastAsia="仿宋" w:cs="仿宋_GB2312"/>
          <w:color w:val="auto"/>
          <w:kern w:val="2"/>
          <w:sz w:val="32"/>
          <w:szCs w:val="32"/>
          <w:lang w:val="en-US" w:eastAsia="zh-CN" w:bidi="ar"/>
        </w:rPr>
        <w:t>本套部门决算汇编范围的单位共1个，包括：襄垣县治理车辆超限超载事务中心。</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一、收入决算情况说明</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本部门2019年度收入总计69.42万元，其中年初结转和结余18.42万元，较2018年减少11.47万元，下降18.36%，主要原因是：严格按照省市县接待标准，中央</w:t>
      </w:r>
      <w:bookmarkStart w:id="0" w:name="_GoBack"/>
      <w:bookmarkEnd w:id="0"/>
      <w:r>
        <w:rPr>
          <w:rFonts w:hint="eastAsia" w:ascii="仿宋" w:hAnsi="仿宋" w:eastAsia="仿宋" w:cs="仿宋_GB2312"/>
          <w:color w:val="auto"/>
          <w:kern w:val="2"/>
          <w:sz w:val="32"/>
          <w:szCs w:val="32"/>
          <w:lang w:val="en-US" w:eastAsia="zh-CN" w:bidi="ar"/>
        </w:rPr>
        <w:t>八项规定勤俭节约。</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 xml:space="preserve">本年收入的具体构成为：财政拨款收入51万元，占73.47%；年初结转和结余18.42万元，占26.53%。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部门2019年度支出总计69.42万元，其中本年支出合计69.42万元，较2018年减少11.47万元，下降18.36%，主要原因是：严格要求规范接待程序，严格接待标准，控制接待范围，提高接待服务质量，年末结转和结余18.42万元，较2018年无变化。</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本年支出的具体构成为：基本支出29.70万元，占58.24%；项目支出21.30万元，占41.76%；经营支出0万元，占0%；其他支出（对附属单位补助支出、上缴上级支出）0万元，占0%。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5"/>
        <w:rPr>
          <w:rFonts w:hint="default"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本部门2019年度财政拨款本年支出年初预算数为   39.62万元，决算数为29.70万元，完成年初预算的74.96 %。其中：一般公共服务支出年初预算数为39.62万元，决算数为29.70万元，完成年初预算的74.96%。</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本部门2019年度一般公共预算财政拨款基本支出232.77万元，其中：</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（一）工资福利支出26.61万元，较2018年增加10.59万元，增长66.1%，主要原因是：正式人员工资。</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（二）商品和服务支出24.25万元，较2018年减少22.05万元，下降47.62%，主要原因是：专项活动减少。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（三）对个人和家庭补助支出0.14万元，较2018年减少0.01万元，下降6%，主要原因是：活动减少。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（四）资本性支出0万元，较2018年增加0万元。</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五、一般公共预算财政拨款“三公”经费支出决算情况说明</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本部门2019年度一般公共预算财政拨款“三公”经费支出年初预算数为2万元，决算数为0.96万元，完成预算的48%，决算数较2018年增加0.69万元，增长256%，原因这公务用车运行维护费增加。其中：</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p>
    <w:p>
      <w:pPr>
        <w:rPr>
          <w:rFonts w:hint="default" w:ascii="仿宋" w:hAnsi="仿宋" w:eastAsia="仿宋" w:cs="仿宋_GB2312"/>
          <w:color w:val="auto"/>
          <w:kern w:val="2"/>
          <w:sz w:val="32"/>
          <w:szCs w:val="32"/>
          <w:lang w:val="en-US" w:eastAsia="zh-CN" w:bidi="ar"/>
        </w:rPr>
      </w:pPr>
      <w:r>
        <w:rPr>
          <w:rFonts w:hint="eastAsia" w:ascii="仿宋_GB2312" w:eastAsia="仿宋_GB2312" w:hAnsiTheme="minorEastAsia" w:cstheme="minorEastAsia"/>
          <w:sz w:val="32"/>
          <w:szCs w:val="32"/>
        </w:rPr>
        <w:t>　　（二）公</w:t>
      </w:r>
      <w:r>
        <w:rPr>
          <w:rFonts w:hint="eastAsia" w:ascii="仿宋" w:hAnsi="仿宋" w:eastAsia="仿宋" w:cs="仿宋_GB2312"/>
          <w:color w:val="auto"/>
          <w:kern w:val="2"/>
          <w:sz w:val="32"/>
          <w:szCs w:val="32"/>
          <w:lang w:val="en-US" w:eastAsia="zh-CN" w:bidi="ar"/>
        </w:rPr>
        <w:t>务接待费支出年初预算数为0万元，决算数为0万元，完成预算的0%，决算数较2018年减少0万元，下降0。</w:t>
      </w:r>
    </w:p>
    <w:p>
      <w:pPr>
        <w:ind w:firstLine="640" w:firstLineChars="200"/>
        <w:rPr>
          <w:rFonts w:hint="default" w:ascii="仿宋" w:hAnsi="仿宋" w:eastAsia="仿宋" w:cs="仿宋_GB2312"/>
          <w:color w:val="auto"/>
          <w:kern w:val="2"/>
          <w:sz w:val="32"/>
          <w:szCs w:val="32"/>
          <w:lang w:val="en-US" w:eastAsia="zh-CN" w:bidi="ar"/>
        </w:rPr>
      </w:pPr>
      <w:r>
        <w:rPr>
          <w:rFonts w:hint="eastAsia" w:ascii="仿宋_GB2312" w:eastAsia="仿宋_GB2312" w:hAnsiTheme="minorEastAsia" w:cstheme="minorEastAsia"/>
          <w:sz w:val="32"/>
          <w:szCs w:val="32"/>
        </w:rPr>
        <w:t>（三）</w:t>
      </w:r>
      <w:r>
        <w:rPr>
          <w:rFonts w:hint="eastAsia" w:ascii="仿宋" w:hAnsi="仿宋" w:eastAsia="仿宋" w:cs="仿宋_GB2312"/>
          <w:color w:val="auto"/>
          <w:kern w:val="2"/>
          <w:sz w:val="32"/>
          <w:szCs w:val="32"/>
          <w:lang w:val="en-US" w:eastAsia="zh-CN" w:bidi="ar"/>
        </w:rPr>
        <w:t>公务用车购置及运行维护费支出0.96万元，其中公务用车购置年初预算数为0万元，决算数为0万元，完成预算的0%，决算数较2018年增加（减少）0万元，增长（下降）0%；公务用车运行维护费支出年初预算数为2万元，决算数为0.96万元，完成预算的256%，决算数较2018年增加0.69万元，增长256%，原因为本年度增加下乡业务。本年度公务用车购置数0，公务用车保有量1。</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年度政府采购支出总额0万元，其中：政府采购货物支出0万元、政府采购工程支出0万元、政府采购服务支出0万元。授予中小企业合同金额0万元，占政府采购支出总额的0%。</w:t>
      </w:r>
    </w:p>
    <w:p>
      <w:pPr>
        <w:numPr>
          <w:ilvl w:val="0"/>
          <w:numId w:val="2"/>
        </w:num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年度机关运行经费支出</w:t>
      </w:r>
      <w:r>
        <w:rPr>
          <w:rFonts w:hint="eastAsia" w:ascii="仿宋_GB2312" w:eastAsia="仿宋_GB2312" w:hAnsiTheme="minorEastAsia" w:cstheme="minorEastAsia"/>
          <w:sz w:val="32"/>
          <w:szCs w:val="32"/>
          <w:lang w:val="en-US" w:eastAsia="zh-CN"/>
        </w:rPr>
        <w:t>51</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11.47</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18.36</w:t>
      </w:r>
      <w:r>
        <w:rPr>
          <w:rFonts w:hint="eastAsia" w:ascii="仿宋_GB2312" w:eastAsia="仿宋_GB2312" w:hAnsiTheme="minorEastAsia" w:cstheme="minorEastAsia"/>
          <w:sz w:val="32"/>
          <w:szCs w:val="32"/>
        </w:rPr>
        <w:t xml:space="preserve">%，主要原因是：接待活动减少。 </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r>
        <w:rPr>
          <w:rFonts w:hint="eastAsia" w:ascii="楷体" w:hAnsi="楷体" w:eastAsia="楷体" w:cstheme="minorEastAsia"/>
          <w:b/>
          <w:color w:val="FF0000"/>
          <w:sz w:val="32"/>
          <w:szCs w:val="32"/>
          <w:lang w:val="en-US" w:eastAsia="zh-CN"/>
        </w:rPr>
        <w:t xml:space="preserve">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本部门共有车辆数合计</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Theme="minorEastAsia"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0CFE3"/>
    <w:multiLevelType w:val="singleLevel"/>
    <w:tmpl w:val="C5D0CFE3"/>
    <w:lvl w:ilvl="0" w:tentative="0">
      <w:start w:val="7"/>
      <w:numFmt w:val="chineseCounting"/>
      <w:suff w:val="nothing"/>
      <w:lvlText w:val="%1、"/>
      <w:lvlJc w:val="left"/>
      <w:rPr>
        <w:rFonts w:hint="eastAsia"/>
      </w:rPr>
    </w:lvl>
  </w:abstractNum>
  <w:abstractNum w:abstractNumId="1">
    <w:nsid w:val="FF867C84"/>
    <w:multiLevelType w:val="singleLevel"/>
    <w:tmpl w:val="FF867C8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NjFmNjY0YTJjMzVjZWVkMmFlMTUxMDA0OTA4MTAifQ=="/>
  </w:docVars>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C5A5250"/>
    <w:rsid w:val="0C64513E"/>
    <w:rsid w:val="0DE649EC"/>
    <w:rsid w:val="0EE25EB1"/>
    <w:rsid w:val="10CB3E8D"/>
    <w:rsid w:val="1B4A6025"/>
    <w:rsid w:val="1E107510"/>
    <w:rsid w:val="209E0EC3"/>
    <w:rsid w:val="22140CC1"/>
    <w:rsid w:val="2A3D4B1F"/>
    <w:rsid w:val="2A937DAC"/>
    <w:rsid w:val="2DB60033"/>
    <w:rsid w:val="2F754CA8"/>
    <w:rsid w:val="341824CB"/>
    <w:rsid w:val="343F3937"/>
    <w:rsid w:val="34D53928"/>
    <w:rsid w:val="37015ED3"/>
    <w:rsid w:val="3E68067B"/>
    <w:rsid w:val="3F5C42DA"/>
    <w:rsid w:val="43E475B8"/>
    <w:rsid w:val="458B37F5"/>
    <w:rsid w:val="48832669"/>
    <w:rsid w:val="48E87EB6"/>
    <w:rsid w:val="4A4F3891"/>
    <w:rsid w:val="4D6B1802"/>
    <w:rsid w:val="4D9B3CEE"/>
    <w:rsid w:val="52567629"/>
    <w:rsid w:val="5622152C"/>
    <w:rsid w:val="582B68F4"/>
    <w:rsid w:val="5D083F24"/>
    <w:rsid w:val="60860A87"/>
    <w:rsid w:val="60B46440"/>
    <w:rsid w:val="61196E82"/>
    <w:rsid w:val="635C762A"/>
    <w:rsid w:val="64BB4A0D"/>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3447</Words>
  <Characters>3708</Characters>
  <Lines>27</Lines>
  <Paragraphs>7</Paragraphs>
  <TotalTime>116</TotalTime>
  <ScaleCrop>false</ScaleCrop>
  <LinksUpToDate>false</LinksUpToDate>
  <CharactersWithSpaces>3767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Almost</cp:lastModifiedBy>
  <cp:lastPrinted>2019-09-11T06:01:00Z</cp:lastPrinted>
  <dcterms:modified xsi:type="dcterms:W3CDTF">2022-05-16T07:33:26Z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F76892898AC841DB863AB3B3607381D5</vt:lpwstr>
  </property>
</Properties>
</file>