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heme="minorEastAsia"/>
          <w:sz w:val="24"/>
        </w:rPr>
      </w:pPr>
      <w:bookmarkStart w:id="0" w:name="_GoBack"/>
      <w:bookmarkEnd w:id="0"/>
      <w:r>
        <w:rPr>
          <w:rFonts w:hint="eastAsia" w:ascii="黑体" w:hAnsi="黑体" w:eastAsia="黑体" w:cstheme="minorEastAsia"/>
          <w:sz w:val="24"/>
        </w:rPr>
        <w:t>附件1：</w:t>
      </w:r>
      <w:r>
        <w:rPr>
          <w:rFonts w:ascii="黑体" w:hAnsi="黑体" w:eastAsia="黑体" w:cstheme="minorEastAsia"/>
          <w:sz w:val="24"/>
        </w:rPr>
        <w:t xml:space="preserve"> </w:t>
      </w: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rPr>
          <w:rFonts w:ascii="黑体" w:hAnsi="黑体" w:eastAsia="黑体" w:cstheme="minorEastAsia"/>
          <w:sz w:val="52"/>
          <w:szCs w:val="52"/>
        </w:rPr>
      </w:pPr>
    </w:p>
    <w:p>
      <w:pPr>
        <w:jc w:val="center"/>
        <w:rPr>
          <w:rFonts w:ascii="黑体" w:hAnsi="黑体" w:eastAsia="黑体" w:cstheme="minorEastAsia"/>
          <w:sz w:val="52"/>
          <w:szCs w:val="52"/>
        </w:rPr>
      </w:pPr>
      <w:r>
        <w:rPr>
          <w:rFonts w:hint="eastAsia" w:ascii="黑体" w:hAnsi="黑体" w:eastAsia="黑体" w:cstheme="minorEastAsia"/>
          <w:sz w:val="52"/>
          <w:szCs w:val="52"/>
        </w:rPr>
        <w:t>中共襄垣县委老干部局</w:t>
      </w:r>
    </w:p>
    <w:p>
      <w:pPr>
        <w:ind w:firstLine="1040" w:firstLineChars="200"/>
        <w:rPr>
          <w:rFonts w:ascii="黑体" w:hAnsi="黑体" w:eastAsia="黑体" w:cstheme="minorEastAsia"/>
          <w:sz w:val="52"/>
          <w:szCs w:val="52"/>
        </w:rPr>
      </w:pPr>
      <w:r>
        <w:rPr>
          <w:rFonts w:hint="eastAsia" w:ascii="黑体" w:hAnsi="黑体" w:eastAsia="黑体" w:cstheme="minorEastAsia"/>
          <w:sz w:val="52"/>
          <w:szCs w:val="52"/>
        </w:rPr>
        <w:t>2019年度部门决算公开说明</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2880" w:firstLineChars="900"/>
        <w:rPr>
          <w:rFonts w:ascii="黑体" w:hAnsi="黑体" w:eastAsia="黑体" w:cstheme="minorEastAsia"/>
          <w:sz w:val="32"/>
          <w:szCs w:val="32"/>
        </w:rPr>
      </w:pPr>
      <w:r>
        <w:rPr>
          <w:rFonts w:hint="eastAsia" w:ascii="黑体" w:hAnsi="黑体" w:eastAsia="黑体" w:cstheme="minorEastAsia"/>
          <w:sz w:val="32"/>
          <w:szCs w:val="32"/>
        </w:rPr>
        <w:t>2019年9月11日</w:t>
      </w:r>
    </w:p>
    <w:p>
      <w:pPr>
        <w:ind w:firstLine="640" w:firstLineChars="200"/>
        <w:jc w:val="center"/>
        <w:rPr>
          <w:rFonts w:asciiTheme="minorEastAsia" w:hAnsiTheme="minorEastAsia" w:cstheme="minorEastAsia"/>
          <w:sz w:val="32"/>
          <w:szCs w:val="32"/>
        </w:rPr>
        <w:sectPr>
          <w:pgSz w:w="11906" w:h="16838"/>
          <w:pgMar w:top="1440" w:right="1800" w:bottom="1440" w:left="1800" w:header="851" w:footer="992" w:gutter="0"/>
          <w:cols w:space="425" w:num="1"/>
          <w:docGrid w:type="lines" w:linePitch="312" w:charSpace="0"/>
        </w:sectPr>
      </w:pPr>
    </w:p>
    <w:p>
      <w:pPr>
        <w:ind w:firstLine="640" w:firstLineChars="200"/>
        <w:jc w:val="center"/>
        <w:rPr>
          <w:rFonts w:asciiTheme="minorEastAsia" w:hAnsiTheme="minorEastAsia" w:cstheme="minorEastAsia"/>
          <w:sz w:val="32"/>
          <w:szCs w:val="32"/>
        </w:rPr>
      </w:pPr>
    </w:p>
    <w:p>
      <w:pPr>
        <w:spacing w:beforeLines="50" w:afterLines="100"/>
        <w:ind w:firstLine="880" w:firstLineChars="200"/>
        <w:jc w:val="center"/>
        <w:rPr>
          <w:rFonts w:ascii="黑体" w:hAnsi="黑体" w:eastAsia="黑体" w:cstheme="minorEastAsia"/>
          <w:sz w:val="44"/>
          <w:szCs w:val="44"/>
        </w:rPr>
      </w:pPr>
      <w:r>
        <w:rPr>
          <w:rFonts w:hint="eastAsia" w:ascii="黑体" w:hAnsi="黑体" w:eastAsia="黑体" w:cstheme="minorEastAsia"/>
          <w:sz w:val="44"/>
          <w:szCs w:val="44"/>
        </w:rPr>
        <w:t>目 录</w:t>
      </w:r>
    </w:p>
    <w:p>
      <w:pPr>
        <w:rPr>
          <w:rFonts w:ascii="黑体" w:hAnsi="黑体" w:eastAsia="黑体" w:cstheme="minorEastAsia"/>
          <w:sz w:val="32"/>
          <w:szCs w:val="32"/>
        </w:rPr>
      </w:pPr>
      <w:r>
        <w:rPr>
          <w:rFonts w:hint="eastAsia" w:ascii="黑体" w:hAnsi="黑体" w:eastAsia="黑体" w:cstheme="minorEastAsia"/>
          <w:sz w:val="32"/>
          <w:szCs w:val="32"/>
        </w:rPr>
        <w:t>第一部分  部门概况</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一、部门主要职责</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二、部门基本情况</w:t>
      </w:r>
    </w:p>
    <w:p>
      <w:pPr>
        <w:rPr>
          <w:rFonts w:ascii="黑体" w:hAnsi="黑体" w:eastAsia="黑体" w:cstheme="minorEastAsia"/>
          <w:sz w:val="32"/>
          <w:szCs w:val="32"/>
        </w:rPr>
      </w:pPr>
      <w:r>
        <w:rPr>
          <w:rFonts w:hint="eastAsia" w:ascii="黑体" w:hAnsi="黑体" w:eastAsia="黑体" w:cstheme="minorEastAsia"/>
          <w:sz w:val="32"/>
          <w:szCs w:val="32"/>
        </w:rPr>
        <w:t>第二部分  2019年度部门决算公开表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一、收入支出决算总表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二、收入决算表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三、支出决算表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四、财政拨款收入支出决算总表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五、一般公共预算财政拨款支出决算表（一）</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六、一般公共预算财政拨款支出决算表（二）</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七、一般公共预算财政拨款“三公”经费支出决算表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八、政府性基金预算财政拨款收入支出决算表</w:t>
      </w:r>
    </w:p>
    <w:p>
      <w:pPr>
        <w:ind w:firstLine="63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九、部门决算公开相关信息统计表</w:t>
      </w:r>
    </w:p>
    <w:p>
      <w:pPr>
        <w:rPr>
          <w:rFonts w:ascii="黑体" w:hAnsi="黑体" w:eastAsia="黑体" w:cstheme="minorEastAsia"/>
          <w:sz w:val="32"/>
          <w:szCs w:val="32"/>
        </w:rPr>
      </w:pPr>
      <w:r>
        <w:rPr>
          <w:rFonts w:hint="eastAsia" w:ascii="黑体" w:hAnsi="黑体" w:eastAsia="黑体" w:cstheme="minorEastAsia"/>
          <w:sz w:val="32"/>
          <w:szCs w:val="32"/>
        </w:rPr>
        <w:t>第三部分  2019年度部门决算情况说明</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一、收入决算情况说明</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二、支出决算情况说明</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三、一般公共预算财政拨款支出决算表公开到功能分类项级科目</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四、一般公共预算财政拨款基本支出决算表公开到经济性质分类款级科目</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五、一般公共预算财政拨款“三公”经费支出决算情况说明</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六、政府采购支出情况说明</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七、机关运行经费执行情况说明</w:t>
      </w:r>
    </w:p>
    <w:p>
      <w:pPr>
        <w:pStyle w:val="4"/>
        <w:widowControl/>
        <w:spacing w:before="0" w:beforeAutospacing="0" w:after="0" w:afterAutospacing="0" w:line="30" w:lineRule="atLeast"/>
        <w:ind w:firstLine="640" w:firstLineChars="200"/>
        <w:rPr>
          <w:rFonts w:ascii="仿宋_GB2312" w:eastAsia="仿宋_GB2312" w:hAnsiTheme="minorEastAsia" w:cstheme="minorEastAsia"/>
          <w:kern w:val="2"/>
          <w:sz w:val="32"/>
          <w:szCs w:val="32"/>
        </w:rPr>
      </w:pPr>
      <w:r>
        <w:rPr>
          <w:rFonts w:hint="eastAsia" w:ascii="仿宋_GB2312" w:eastAsia="仿宋_GB2312" w:hAnsiTheme="minorEastAsia" w:cstheme="minorEastAsia"/>
          <w:sz w:val="32"/>
          <w:szCs w:val="32"/>
        </w:rPr>
        <w:t>八、</w:t>
      </w:r>
      <w:r>
        <w:rPr>
          <w:rFonts w:hint="eastAsia" w:ascii="仿宋_GB2312" w:eastAsia="仿宋_GB2312" w:hAnsiTheme="minorEastAsia" w:cstheme="minorEastAsia"/>
          <w:kern w:val="2"/>
          <w:sz w:val="32"/>
          <w:szCs w:val="32"/>
        </w:rPr>
        <w:t>国有资产占用情况说明</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九、重点绩效评价结果等预算绩效情况说明</w:t>
      </w:r>
    </w:p>
    <w:p>
      <w:pPr>
        <w:rPr>
          <w:rFonts w:ascii="黑体" w:hAnsi="黑体" w:eastAsia="黑体" w:cstheme="minorEastAsia"/>
          <w:sz w:val="32"/>
          <w:szCs w:val="32"/>
        </w:rPr>
      </w:pPr>
      <w:r>
        <w:rPr>
          <w:rFonts w:hint="eastAsia" w:ascii="黑体" w:hAnsi="黑体" w:eastAsia="黑体" w:cstheme="minorEastAsia"/>
          <w:sz w:val="32"/>
          <w:szCs w:val="32"/>
        </w:rPr>
        <w:t>第四部分  名词解释</w:t>
      </w: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rPr>
          <w:rFonts w:asciiTheme="minorEastAsia" w:hAnsiTheme="minorEastAsia" w:cstheme="minorEastAsia"/>
          <w:sz w:val="32"/>
          <w:szCs w:val="32"/>
        </w:rPr>
      </w:pPr>
    </w:p>
    <w:p>
      <w:pPr>
        <w:ind w:firstLine="640" w:firstLineChars="200"/>
        <w:rPr>
          <w:rFonts w:ascii="黑体" w:hAnsi="黑体" w:eastAsia="黑体" w:cstheme="minorEastAsia"/>
          <w:sz w:val="32"/>
          <w:szCs w:val="32"/>
        </w:rPr>
      </w:pPr>
    </w:p>
    <w:p>
      <w:pPr>
        <w:ind w:firstLine="643" w:firstLineChars="200"/>
        <w:rPr>
          <w:rFonts w:ascii="黑体" w:hAnsi="黑体" w:eastAsia="黑体" w:cstheme="minorEastAsia"/>
          <w:b/>
          <w:bCs/>
          <w:sz w:val="32"/>
          <w:szCs w:val="32"/>
        </w:rPr>
      </w:pPr>
    </w:p>
    <w:p>
      <w:pPr>
        <w:ind w:firstLine="643" w:firstLineChars="200"/>
        <w:rPr>
          <w:rFonts w:ascii="黑体" w:hAnsi="黑体" w:eastAsia="黑体" w:cs="黑体"/>
          <w:b/>
          <w:bCs/>
          <w:sz w:val="32"/>
          <w:szCs w:val="32"/>
        </w:rPr>
      </w:pPr>
      <w:r>
        <w:rPr>
          <w:rFonts w:hint="eastAsia" w:ascii="黑体" w:hAnsi="黑体" w:eastAsia="黑体" w:cstheme="minorEastAsia"/>
          <w:b/>
          <w:bCs/>
          <w:sz w:val="32"/>
          <w:szCs w:val="32"/>
        </w:rPr>
        <w:t xml:space="preserve">第一部分  </w:t>
      </w:r>
      <w:r>
        <w:rPr>
          <w:rFonts w:hint="eastAsia" w:ascii="黑体" w:hAnsi="黑体" w:eastAsia="黑体" w:cs="黑体"/>
          <w:b/>
          <w:bCs/>
          <w:sz w:val="32"/>
          <w:szCs w:val="32"/>
        </w:rPr>
        <w:t>中共襄垣县委老干部局部门</w:t>
      </w:r>
      <w:r>
        <w:rPr>
          <w:rFonts w:hint="eastAsia" w:ascii="黑体" w:hAnsi="黑体" w:eastAsia="黑体" w:cstheme="minorEastAsia"/>
          <w:b/>
          <w:bCs/>
          <w:sz w:val="32"/>
          <w:szCs w:val="32"/>
        </w:rPr>
        <w:t>概况</w:t>
      </w:r>
    </w:p>
    <w:p>
      <w:pPr>
        <w:ind w:firstLine="643" w:firstLineChars="200"/>
        <w:rPr>
          <w:rFonts w:ascii="楷体" w:hAnsi="楷体" w:eastAsia="楷体" w:cstheme="minorEastAsia"/>
          <w:b/>
          <w:color w:val="FF0000"/>
          <w:sz w:val="32"/>
          <w:szCs w:val="32"/>
        </w:rPr>
      </w:pPr>
      <w:r>
        <w:rPr>
          <w:rFonts w:hint="eastAsia" w:ascii="楷体" w:hAnsi="楷体" w:eastAsia="楷体" w:cstheme="minorEastAsia"/>
          <w:b/>
          <w:sz w:val="32"/>
          <w:szCs w:val="32"/>
        </w:rPr>
        <w:t>一、部门主要职能</w:t>
      </w:r>
    </w:p>
    <w:p>
      <w:pPr>
        <w:ind w:firstLine="640" w:firstLineChars="200"/>
        <w:rPr>
          <w:sz w:val="32"/>
          <w:szCs w:val="32"/>
        </w:rPr>
      </w:pPr>
      <w:r>
        <w:rPr>
          <w:rFonts w:hint="eastAsia"/>
          <w:sz w:val="32"/>
          <w:szCs w:val="32"/>
        </w:rPr>
        <w:t>（一）贯彻中央、国务院和省委、省政府以及市委、市政府关于离退休干部工作的方针、政策和有关规定及县委、县政府的有关精神，制定实施办法和细则，开展调査硏究，为县委、县政府和有关部门制定离退休干部工作政策提供情况和依据。</w:t>
      </w:r>
    </w:p>
    <w:p>
      <w:pPr>
        <w:ind w:firstLine="640" w:firstLineChars="200"/>
        <w:rPr>
          <w:sz w:val="32"/>
          <w:szCs w:val="32"/>
        </w:rPr>
      </w:pPr>
      <w:r>
        <w:rPr>
          <w:rFonts w:hint="eastAsia"/>
          <w:sz w:val="32"/>
          <w:szCs w:val="32"/>
        </w:rPr>
        <w:t>（二）负责对离退休干部工作的监督、检査、指导和协调；督促离退休干部的政治待遇和生活待遇的落实。</w:t>
      </w:r>
    </w:p>
    <w:p>
      <w:pPr>
        <w:ind w:firstLine="640" w:firstLineChars="200"/>
        <w:rPr>
          <w:sz w:val="32"/>
          <w:szCs w:val="32"/>
        </w:rPr>
      </w:pPr>
      <w:r>
        <w:rPr>
          <w:rFonts w:hint="eastAsia"/>
          <w:sz w:val="32"/>
          <w:szCs w:val="32"/>
        </w:rPr>
        <w:t>（三）检查、督促、指导离退休干部的党组织建设，加强离退休干部的学习教育，做好思想政治工作；组织指导离退休干部在两个文明建设中发挥作用。</w:t>
      </w:r>
    </w:p>
    <w:p>
      <w:pPr>
        <w:ind w:firstLine="640" w:firstLineChars="200"/>
        <w:rPr>
          <w:sz w:val="32"/>
          <w:szCs w:val="32"/>
        </w:rPr>
      </w:pPr>
      <w:r>
        <w:rPr>
          <w:rFonts w:hint="eastAsia"/>
          <w:sz w:val="32"/>
          <w:szCs w:val="32"/>
        </w:rPr>
        <w:t>（四）负责组织指导离退休干部的文体健身活动及医疗保健工作。</w:t>
      </w:r>
    </w:p>
    <w:p>
      <w:pPr>
        <w:ind w:firstLine="640" w:firstLineChars="200"/>
        <w:rPr>
          <w:sz w:val="32"/>
          <w:szCs w:val="32"/>
        </w:rPr>
      </w:pPr>
      <w:r>
        <w:rPr>
          <w:rFonts w:hint="eastAsia"/>
          <w:sz w:val="32"/>
          <w:szCs w:val="32"/>
        </w:rPr>
        <w:t>（五）搞好全县离退休干部工作部门和工作人员的自身建设。</w:t>
      </w:r>
    </w:p>
    <w:p>
      <w:pPr>
        <w:ind w:firstLine="640" w:firstLineChars="200"/>
        <w:rPr>
          <w:sz w:val="32"/>
          <w:szCs w:val="32"/>
        </w:rPr>
      </w:pPr>
      <w:r>
        <w:rPr>
          <w:rFonts w:hint="eastAsia"/>
          <w:sz w:val="32"/>
          <w:szCs w:val="32"/>
        </w:rPr>
        <w:t>（六）完成县委交办的其他任务。</w:t>
      </w:r>
    </w:p>
    <w:p>
      <w:pPr>
        <w:ind w:firstLine="643" w:firstLineChars="200"/>
        <w:rPr>
          <w:rFonts w:ascii="楷体" w:hAnsi="楷体" w:eastAsia="楷体" w:cstheme="minorEastAsia"/>
          <w:b/>
          <w:sz w:val="32"/>
          <w:szCs w:val="32"/>
        </w:rPr>
      </w:pPr>
      <w:r>
        <w:rPr>
          <w:rFonts w:hint="eastAsia" w:ascii="楷体" w:hAnsi="楷体" w:eastAsia="楷体" w:cstheme="minorEastAsia"/>
          <w:b/>
          <w:sz w:val="32"/>
          <w:szCs w:val="32"/>
        </w:rPr>
        <w:t>二、部门基本情况</w:t>
      </w:r>
    </w:p>
    <w:p>
      <w:pPr>
        <w:widowControl/>
        <w:spacing w:line="324" w:lineRule="atLeast"/>
        <w:ind w:left="540"/>
        <w:jc w:val="left"/>
        <w:rPr>
          <w:rFonts w:ascii="仿宋_GB2312" w:hAnsi="楷体" w:eastAsia="仿宋_GB2312" w:cs="宋体"/>
          <w:bCs/>
          <w:color w:val="333333"/>
          <w:kern w:val="0"/>
          <w:sz w:val="18"/>
          <w:szCs w:val="18"/>
        </w:rPr>
      </w:pPr>
      <w:r>
        <w:rPr>
          <w:rFonts w:hint="eastAsia" w:ascii="仿宋_GB2312" w:hAnsi="楷体" w:eastAsia="仿宋_GB2312" w:cs="宋体"/>
          <w:bCs/>
          <w:color w:val="333333"/>
          <w:kern w:val="0"/>
          <w:sz w:val="32"/>
          <w:szCs w:val="32"/>
        </w:rPr>
        <w:t>（一）机构设置情况</w:t>
      </w:r>
    </w:p>
    <w:p>
      <w:pPr>
        <w:ind w:firstLine="640" w:firstLineChars="200"/>
        <w:rPr>
          <w:sz w:val="32"/>
          <w:szCs w:val="32"/>
        </w:rPr>
      </w:pPr>
      <w:r>
        <w:rPr>
          <w:rFonts w:hint="eastAsia"/>
          <w:sz w:val="32"/>
          <w:szCs w:val="32"/>
        </w:rPr>
        <w:t>老干部活动中心属事业副科单位，共有编制5人，实有工作人员5人（活动中心主任1名，科员</w:t>
      </w:r>
      <w:r>
        <w:rPr>
          <w:sz w:val="32"/>
          <w:szCs w:val="32"/>
        </w:rPr>
        <w:t>4</w:t>
      </w:r>
      <w:r>
        <w:rPr>
          <w:rFonts w:hint="eastAsia"/>
          <w:sz w:val="32"/>
          <w:szCs w:val="32"/>
        </w:rPr>
        <w:t>名）。</w:t>
      </w:r>
    </w:p>
    <w:p>
      <w:pPr>
        <w:ind w:firstLine="640" w:firstLineChars="200"/>
        <w:rPr>
          <w:sz w:val="32"/>
          <w:szCs w:val="32"/>
        </w:rPr>
      </w:pPr>
      <w:r>
        <w:rPr>
          <w:rFonts w:hint="eastAsia"/>
          <w:sz w:val="32"/>
          <w:szCs w:val="32"/>
        </w:rPr>
        <w:t>老年大学属于事业股级单位，编制2人，科员2人。</w:t>
      </w:r>
    </w:p>
    <w:p>
      <w:pPr>
        <w:widowControl/>
        <w:spacing w:line="324" w:lineRule="atLeast"/>
        <w:ind w:left="540"/>
        <w:jc w:val="left"/>
        <w:rPr>
          <w:rFonts w:ascii="仿宋_GB2312" w:hAnsi="楷体" w:eastAsia="仿宋_GB2312" w:cs="宋体"/>
          <w:bCs/>
          <w:color w:val="333333"/>
          <w:kern w:val="0"/>
          <w:sz w:val="32"/>
          <w:szCs w:val="32"/>
        </w:rPr>
      </w:pPr>
      <w:r>
        <w:rPr>
          <w:rFonts w:hint="eastAsia" w:ascii="仿宋_GB2312" w:hAnsi="楷体" w:eastAsia="仿宋_GB2312" w:cs="宋体"/>
          <w:bCs/>
          <w:color w:val="333333"/>
          <w:kern w:val="0"/>
          <w:sz w:val="32"/>
          <w:szCs w:val="32"/>
        </w:rPr>
        <w:t>（二）人员情况说明</w:t>
      </w:r>
    </w:p>
    <w:p>
      <w:pPr>
        <w:ind w:firstLine="640" w:firstLineChars="200"/>
        <w:rPr>
          <w:sz w:val="32"/>
          <w:szCs w:val="32"/>
        </w:rPr>
      </w:pPr>
      <w:r>
        <w:rPr>
          <w:rFonts w:hint="eastAsia"/>
          <w:sz w:val="32"/>
          <w:szCs w:val="32"/>
          <w:lang w:eastAsia="zh-CN"/>
        </w:rPr>
        <w:t>老干部局</w:t>
      </w:r>
      <w:r>
        <w:rPr>
          <w:rFonts w:hint="eastAsia"/>
          <w:sz w:val="32"/>
          <w:szCs w:val="32"/>
        </w:rPr>
        <w:t>行政编制5人，工勤编制2人。</w:t>
      </w:r>
    </w:p>
    <w:p>
      <w:pPr>
        <w:ind w:firstLine="640" w:firstLineChars="200"/>
        <w:rPr>
          <w:sz w:val="32"/>
          <w:szCs w:val="32"/>
        </w:rPr>
      </w:pPr>
      <w:r>
        <w:rPr>
          <w:rFonts w:hint="eastAsia"/>
          <w:sz w:val="32"/>
          <w:szCs w:val="32"/>
        </w:rPr>
        <w:t>老干部活动中心事业编制5人，老年大学事业编制2人。</w:t>
      </w:r>
    </w:p>
    <w:p>
      <w:pPr>
        <w:ind w:firstLine="645"/>
        <w:rPr>
          <w:sz w:val="32"/>
          <w:szCs w:val="32"/>
        </w:rPr>
      </w:pPr>
      <w:r>
        <w:rPr>
          <w:rFonts w:hint="eastAsia" w:ascii="仿宋" w:hAnsi="仿宋" w:eastAsia="仿宋" w:cs="仿宋_GB2312"/>
          <w:sz w:val="32"/>
          <w:szCs w:val="32"/>
        </w:rPr>
        <w:t>（三）</w:t>
      </w:r>
      <w:r>
        <w:rPr>
          <w:rFonts w:hint="eastAsia"/>
          <w:sz w:val="32"/>
          <w:szCs w:val="32"/>
        </w:rPr>
        <w:t>本套部门决算汇编范围的单位共1个，包括：中共襄垣县委老干部局</w:t>
      </w:r>
    </w:p>
    <w:p>
      <w:pPr>
        <w:ind w:firstLine="640" w:firstLineChars="200"/>
        <w:rPr>
          <w:rFonts w:ascii="黑体" w:hAnsi="黑体" w:eastAsia="黑体" w:cstheme="minorEastAsia"/>
          <w:sz w:val="32"/>
          <w:szCs w:val="32"/>
        </w:rPr>
      </w:pPr>
      <w:r>
        <w:rPr>
          <w:rFonts w:hint="eastAsia" w:ascii="黑体" w:hAnsi="黑体" w:eastAsia="黑体" w:cstheme="minorEastAsia"/>
          <w:sz w:val="32"/>
          <w:szCs w:val="32"/>
        </w:rPr>
        <w:t>第二部分  2019年度部门决算公开表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共9张（收入支出决算总表、收入决算表、支出决算表、财政拨款收入支出决算总表、一般公共预算财政拨款支出决算表（一）、一般公共预算财政拨款支出决算表（二）、一般公共预算财政拨款“三公”经费支出决算表、政府性基金预算财政拨款收入支出决算表、部门决算公开相关信息统计表）。</w:t>
      </w:r>
    </w:p>
    <w:p>
      <w:pPr>
        <w:ind w:firstLine="640" w:firstLineChars="200"/>
        <w:rPr>
          <w:rFonts w:ascii="黑体" w:hAnsi="黑体" w:eastAsia="黑体" w:cstheme="minorEastAsia"/>
          <w:color w:val="C00000"/>
          <w:sz w:val="32"/>
          <w:szCs w:val="32"/>
        </w:rPr>
      </w:pPr>
      <w:r>
        <w:rPr>
          <w:rFonts w:hint="eastAsia" w:ascii="黑体" w:hAnsi="黑体" w:eastAsia="黑体" w:cstheme="minorEastAsia"/>
          <w:sz w:val="32"/>
          <w:szCs w:val="32"/>
        </w:rPr>
        <w:t>第三部分  2019年度部门决算情况说明</w:t>
      </w:r>
    </w:p>
    <w:p>
      <w:pPr>
        <w:ind w:firstLine="640" w:firstLineChars="200"/>
        <w:rPr>
          <w:rFonts w:ascii="楷体" w:hAnsi="楷体" w:eastAsia="楷体" w:cstheme="minorEastAsia"/>
          <w:b/>
          <w:color w:val="FF0000"/>
          <w:sz w:val="32"/>
          <w:szCs w:val="32"/>
        </w:rPr>
      </w:pPr>
      <w:r>
        <w:rPr>
          <w:rFonts w:hint="eastAsia" w:ascii="楷体" w:hAnsi="楷体" w:eastAsia="楷体" w:cstheme="minorEastAsia"/>
          <w:bCs/>
          <w:sz w:val="32"/>
          <w:szCs w:val="32"/>
        </w:rPr>
        <w:t>一、收入决算情况说明</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本部门2019年度收入总计</w:t>
      </w:r>
      <w:r>
        <w:rPr>
          <w:rFonts w:hint="eastAsia" w:asciiTheme="majorEastAsia" w:hAnsiTheme="majorEastAsia" w:eastAsiaTheme="majorEastAsia"/>
          <w:sz w:val="32"/>
          <w:szCs w:val="32"/>
        </w:rPr>
        <w:t>5754500.33元</w:t>
      </w:r>
      <w:r>
        <w:rPr>
          <w:rFonts w:hint="eastAsia" w:ascii="仿宋_GB2312" w:hAnsi="仿宋" w:eastAsia="仿宋_GB2312" w:cs="仿宋"/>
          <w:color w:val="5B9BD5" w:themeColor="accent1"/>
          <w:sz w:val="32"/>
          <w:szCs w:val="32"/>
          <w14:textFill>
            <w14:solidFill>
              <w14:schemeClr w14:val="accent1"/>
            </w14:solidFill>
          </w14:textFill>
        </w:rPr>
        <w:t>，</w:t>
      </w:r>
      <w:r>
        <w:rPr>
          <w:rFonts w:hint="eastAsia" w:asciiTheme="majorEastAsia" w:hAnsiTheme="majorEastAsia" w:eastAsiaTheme="majorEastAsia"/>
          <w:sz w:val="32"/>
          <w:szCs w:val="32"/>
        </w:rPr>
        <w:t>年初结转和结余3</w:t>
      </w:r>
      <w:r>
        <w:rPr>
          <w:rFonts w:asciiTheme="majorEastAsia" w:hAnsiTheme="majorEastAsia" w:eastAsiaTheme="majorEastAsia"/>
          <w:sz w:val="32"/>
          <w:szCs w:val="32"/>
        </w:rPr>
        <w:t>18238.06</w:t>
      </w:r>
      <w:r>
        <w:rPr>
          <w:rFonts w:hint="eastAsia" w:asciiTheme="majorEastAsia" w:hAnsiTheme="majorEastAsia" w:eastAsiaTheme="majorEastAsia"/>
          <w:sz w:val="32"/>
          <w:szCs w:val="32"/>
        </w:rPr>
        <w:t>元</w:t>
      </w:r>
      <w:r>
        <w:rPr>
          <w:rFonts w:hint="eastAsia" w:ascii="仿宋_GB2312" w:hAnsi="仿宋" w:eastAsia="仿宋_GB2312" w:cs="仿宋"/>
          <w:sz w:val="32"/>
          <w:szCs w:val="32"/>
        </w:rPr>
        <w:t>，较2017年减少138828.07元，下降2.41%；本年收入合计5754500.33元，较2018年减少1441784.38元，下降25.05%，主要原因是：严格按照省市县接待标准，中央八项规定勤俭节约。</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本年收入的具体构成为：财政拨款收入</w:t>
      </w:r>
      <w:r>
        <w:rPr>
          <w:rFonts w:hint="eastAsia" w:asciiTheme="majorEastAsia" w:hAnsiTheme="majorEastAsia" w:eastAsiaTheme="majorEastAsia"/>
          <w:sz w:val="32"/>
          <w:szCs w:val="32"/>
        </w:rPr>
        <w:t>5633500.33元，</w:t>
      </w:r>
      <w:r>
        <w:rPr>
          <w:rFonts w:hint="eastAsia" w:ascii="仿宋_GB2312" w:hAnsi="仿宋" w:eastAsia="仿宋_GB2312" w:cs="仿宋"/>
          <w:sz w:val="32"/>
          <w:szCs w:val="32"/>
        </w:rPr>
        <w:t xml:space="preserve">占97.90%；其他收入121000元，占2.10%。  </w:t>
      </w:r>
    </w:p>
    <w:p>
      <w:pPr>
        <w:ind w:firstLine="640" w:firstLineChars="200"/>
        <w:rPr>
          <w:rFonts w:ascii="楷体" w:hAnsi="楷体" w:eastAsia="楷体" w:cstheme="minorEastAsia"/>
          <w:bCs/>
          <w:sz w:val="32"/>
          <w:szCs w:val="32"/>
        </w:rPr>
      </w:pPr>
      <w:r>
        <w:rPr>
          <w:rFonts w:hint="eastAsia" w:ascii="楷体" w:hAnsi="楷体" w:eastAsia="楷体" w:cstheme="minorEastAsia"/>
          <w:bCs/>
          <w:sz w:val="32"/>
          <w:szCs w:val="32"/>
        </w:rPr>
        <w:t>二、支出决算情况说明</w:t>
      </w:r>
    </w:p>
    <w:p>
      <w:pPr>
        <w:ind w:firstLine="640" w:firstLineChars="200"/>
        <w:rPr>
          <w:rFonts w:ascii="仿宋_GB2312" w:eastAsia="仿宋_GB2312" w:hAnsiTheme="minorEastAsia" w:cstheme="minorEastAsia"/>
          <w:color w:val="5B9BD5" w:themeColor="accent1"/>
          <w:sz w:val="32"/>
          <w:szCs w:val="32"/>
          <w14:textFill>
            <w14:solidFill>
              <w14:schemeClr w14:val="accent1"/>
            </w14:solidFill>
          </w14:textFill>
        </w:rPr>
      </w:pPr>
      <w:r>
        <w:rPr>
          <w:rFonts w:hint="eastAsia" w:ascii="仿宋_GB2312" w:eastAsia="仿宋_GB2312" w:hAnsiTheme="minorEastAsia" w:cstheme="minorEastAsia"/>
          <w:sz w:val="32"/>
          <w:szCs w:val="32"/>
        </w:rPr>
        <w:t>本部门2019年度支出总计</w:t>
      </w:r>
      <w:r>
        <w:rPr>
          <w:rFonts w:hint="eastAsia" w:asciiTheme="majorEastAsia" w:hAnsiTheme="majorEastAsia" w:eastAsiaTheme="majorEastAsia"/>
          <w:sz w:val="32"/>
          <w:szCs w:val="32"/>
        </w:rPr>
        <w:t>5715554.93元，</w:t>
      </w:r>
      <w:r>
        <w:rPr>
          <w:rFonts w:hint="eastAsia" w:ascii="仿宋_GB2312" w:eastAsia="仿宋_GB2312" w:hAnsiTheme="minorEastAsia" w:cstheme="minorEastAsia"/>
          <w:sz w:val="32"/>
          <w:szCs w:val="32"/>
        </w:rPr>
        <w:t>其中本年支出合计</w:t>
      </w:r>
      <w:r>
        <w:rPr>
          <w:rFonts w:hint="eastAsia" w:asciiTheme="majorEastAsia" w:hAnsiTheme="majorEastAsia" w:eastAsiaTheme="majorEastAsia"/>
          <w:sz w:val="32"/>
          <w:szCs w:val="32"/>
        </w:rPr>
        <w:t>5715554.93元，</w:t>
      </w:r>
      <w:r>
        <w:rPr>
          <w:rFonts w:hint="eastAsia" w:ascii="仿宋_GB2312" w:eastAsia="仿宋_GB2312" w:hAnsiTheme="minorEastAsia" w:cstheme="minorEastAsia"/>
          <w:sz w:val="32"/>
          <w:szCs w:val="32"/>
        </w:rPr>
        <w:t>较2018年减少1202795.46元，下降21.10%，年末结转和结余357183.46元，较2017年增加166891.72元，增长46.72%，主要原因是：严格执行中央省市县接待要求。</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本年支出的具体构成为：基本支出4246477.54元，占74.30%；项目支出1469077.39元，占25.70%；经营支出0万元，占0%；其他支出（对附属单位补助支出、上缴上级支出）0万元，占0%。</w:t>
      </w:r>
    </w:p>
    <w:p>
      <w:pPr>
        <w:ind w:firstLine="640" w:firstLineChars="200"/>
        <w:rPr>
          <w:rFonts w:ascii="楷体" w:hAnsi="楷体" w:eastAsia="楷体" w:cstheme="minorEastAsia"/>
          <w:bCs/>
          <w:sz w:val="32"/>
          <w:szCs w:val="32"/>
        </w:rPr>
      </w:pPr>
      <w:r>
        <w:rPr>
          <w:rFonts w:hint="eastAsia" w:ascii="楷体" w:hAnsi="楷体" w:eastAsia="楷体" w:cstheme="minorEastAsia"/>
          <w:bCs/>
          <w:sz w:val="32"/>
          <w:szCs w:val="32"/>
        </w:rPr>
        <w:t>三、一般公共预算财政拨款支出决算表公开到功能分类项级科目（05表）</w:t>
      </w:r>
    </w:p>
    <w:p>
      <w:pPr>
        <w:ind w:firstLine="640" w:firstLineChars="200"/>
        <w:rPr>
          <w:rFonts w:ascii="仿宋_GB2312" w:eastAsia="仿宋_GB2312" w:hAnsiTheme="minorEastAsia" w:cstheme="minorEastAsia"/>
          <w:color w:val="5B9BD5" w:themeColor="accent1"/>
          <w:sz w:val="32"/>
          <w:szCs w:val="32"/>
          <w14:textFill>
            <w14:solidFill>
              <w14:schemeClr w14:val="accent1"/>
            </w14:solidFill>
          </w14:textFill>
        </w:rPr>
      </w:pPr>
      <w:r>
        <w:rPr>
          <w:rFonts w:hint="eastAsia" w:ascii="仿宋_GB2312" w:eastAsia="仿宋_GB2312" w:hAnsiTheme="minorEastAsia" w:cstheme="minorEastAsia"/>
          <w:sz w:val="32"/>
          <w:szCs w:val="32"/>
        </w:rPr>
        <w:t>本部门2019年度财政拨款本年支出年初预算数为</w:t>
      </w:r>
      <w:r>
        <w:rPr>
          <w:rFonts w:hint="eastAsia" w:ascii="仿宋_GB2312" w:eastAsia="仿宋_GB2312" w:hAnsiTheme="minorEastAsia" w:cstheme="minorEastAsia"/>
          <w:color w:val="5B9BD5" w:themeColor="accent1"/>
          <w:sz w:val="32"/>
          <w:szCs w:val="32"/>
          <w14:textFill>
            <w14:solidFill>
              <w14:schemeClr w14:val="accent1"/>
            </w14:solidFill>
          </w14:textFill>
        </w:rPr>
        <w:t xml:space="preserve">   </w:t>
      </w:r>
      <w:r>
        <w:rPr>
          <w:rFonts w:hint="eastAsia" w:ascii="仿宋_GB2312" w:eastAsia="仿宋_GB2312" w:hAnsiTheme="minorEastAsia" w:cstheme="minorEastAsia"/>
          <w:sz w:val="32"/>
          <w:szCs w:val="32"/>
        </w:rPr>
        <w:t>374.00万元，决算数为563万元，完成年初预算的150.53%。其中：社会保障和就业支出决算数5633500.33元。</w:t>
      </w:r>
    </w:p>
    <w:p>
      <w:pPr>
        <w:ind w:firstLine="640" w:firstLineChars="200"/>
        <w:rPr>
          <w:rFonts w:ascii="楷体" w:hAnsi="楷体" w:eastAsia="楷体" w:cstheme="minorEastAsia"/>
          <w:bCs/>
          <w:sz w:val="32"/>
          <w:szCs w:val="32"/>
        </w:rPr>
      </w:pPr>
      <w:r>
        <w:rPr>
          <w:rFonts w:hint="eastAsia" w:ascii="楷体" w:hAnsi="楷体" w:eastAsia="楷体" w:cstheme="minorEastAsia"/>
          <w:bCs/>
          <w:sz w:val="32"/>
          <w:szCs w:val="32"/>
        </w:rPr>
        <w:t>四、一般公共预算财政拨款基本支出决算表公开到经济性质分类款级科目（06表）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本部门2019年度一般公共预算财政拨款基本支出4164662.94元，其中：</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（一）工资福利支出991212.01元，较2018年增加84388.01元，增长8.51%，主要原因是：正式人员工资和临时工工资。</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（二）商品和服务支出766669.34元，较2018年增加405241.4元，增长52.86%，主要原因是：活动增加。</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（三）对个人和家庭补助支出3853496.97元，较2018年增加1406266.97元，下降36.49%，主要原因是：活动增加。</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（四）资本性支出22122.01元，较2018年减少144763.99元，主要原因是：接待活动减少。</w:t>
      </w:r>
    </w:p>
    <w:p>
      <w:pPr>
        <w:ind w:firstLine="640" w:firstLineChars="200"/>
        <w:rPr>
          <w:rFonts w:ascii="楷体" w:hAnsi="楷体" w:eastAsia="楷体" w:cstheme="minorEastAsia"/>
          <w:b/>
          <w:color w:val="FF0000"/>
          <w:sz w:val="32"/>
          <w:szCs w:val="32"/>
        </w:rPr>
      </w:pPr>
      <w:r>
        <w:rPr>
          <w:rFonts w:hint="eastAsia" w:ascii="楷体" w:hAnsi="楷体" w:eastAsia="楷体" w:cstheme="minorEastAsia"/>
          <w:bCs/>
          <w:sz w:val="32"/>
          <w:szCs w:val="32"/>
        </w:rPr>
        <w:t>五、一般公共预算财政拨款“三公”经费支出决算情况说明</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本部门2019年度一般公共预算财政拨款“三公”经费支出年初预算数为13</w:t>
      </w:r>
      <w:r>
        <w:rPr>
          <w:rFonts w:hint="eastAsia" w:ascii="仿宋_GB2312" w:eastAsia="仿宋_GB2312" w:hAnsiTheme="minorEastAsia" w:cstheme="minorEastAsia"/>
          <w:sz w:val="32"/>
          <w:szCs w:val="32"/>
          <w:lang w:val="en-US" w:eastAsia="zh-CN"/>
        </w:rPr>
        <w:t>00</w:t>
      </w:r>
      <w:r>
        <w:rPr>
          <w:rFonts w:hint="eastAsia" w:ascii="仿宋_GB2312" w:eastAsia="仿宋_GB2312" w:hAnsiTheme="minorEastAsia" w:cstheme="minorEastAsia"/>
          <w:sz w:val="32"/>
          <w:szCs w:val="32"/>
        </w:rPr>
        <w:t>元，决算数为</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元，完成预算的</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%，决算数较2018年减少</w:t>
      </w:r>
      <w:r>
        <w:rPr>
          <w:rFonts w:hint="eastAsia" w:ascii="仿宋_GB2312" w:eastAsia="仿宋_GB2312" w:hAnsiTheme="minorEastAsia" w:cstheme="minorEastAsia"/>
          <w:sz w:val="32"/>
          <w:szCs w:val="32"/>
          <w:lang w:val="en-US" w:eastAsia="zh-CN"/>
        </w:rPr>
        <w:t>1987</w:t>
      </w:r>
      <w:r>
        <w:rPr>
          <w:rFonts w:hint="eastAsia" w:ascii="仿宋_GB2312" w:eastAsia="仿宋_GB2312" w:hAnsiTheme="minorEastAsia" w:cstheme="minorEastAsia"/>
          <w:sz w:val="32"/>
          <w:szCs w:val="32"/>
        </w:rPr>
        <w:t>元，</w:t>
      </w:r>
      <w:r>
        <w:rPr>
          <w:rFonts w:hint="eastAsia" w:ascii="仿宋_GB2312" w:eastAsia="仿宋_GB2312" w:hAnsiTheme="minorEastAsia" w:cstheme="minorEastAsia"/>
          <w:sz w:val="32"/>
          <w:szCs w:val="32"/>
          <w:lang w:eastAsia="zh-CN"/>
        </w:rPr>
        <w:t>原因为本年度减少公务接支出。</w:t>
      </w:r>
      <w:r>
        <w:rPr>
          <w:rFonts w:hint="eastAsia" w:ascii="仿宋_GB2312" w:eastAsia="仿宋_GB2312" w:hAnsiTheme="minorEastAsia" w:cstheme="minorEastAsia"/>
          <w:sz w:val="32"/>
          <w:szCs w:val="32"/>
        </w:rPr>
        <w:t>其中：</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lang w:eastAsia="zh-CN"/>
        </w:rPr>
        <w:t>（一）</w:t>
      </w:r>
      <w:r>
        <w:rPr>
          <w:rFonts w:hint="eastAsia" w:ascii="仿宋_GB2312" w:eastAsia="仿宋_GB2312" w:hAnsiTheme="minorEastAsia" w:cstheme="minorEastAsia"/>
          <w:sz w:val="32"/>
          <w:szCs w:val="32"/>
        </w:rPr>
        <w:t>因公出国（境）支出年初预算数为0万元，决算数为0万元，完成预算的0%，因公出国（境）团组数为0，人数为0。决算数较2018年增加（减少）0万元，增长（下降）0%。</w:t>
      </w:r>
    </w:p>
    <w:p>
      <w:pPr>
        <w:ind w:firstLine="640" w:firstLineChars="200"/>
        <w:rPr>
          <w:rFonts w:hint="default" w:ascii="仿宋_GB2312" w:eastAsia="仿宋_GB2312" w:hAnsiTheme="minorEastAsia" w:cstheme="minorEastAsia"/>
          <w:sz w:val="32"/>
          <w:szCs w:val="32"/>
          <w:lang w:val="en-US" w:eastAsia="zh-CN"/>
        </w:rPr>
      </w:pPr>
      <w:r>
        <w:rPr>
          <w:rFonts w:hint="eastAsia" w:ascii="仿宋_GB2312" w:eastAsia="仿宋_GB2312" w:hAnsiTheme="minorEastAsia" w:cstheme="minorEastAsia"/>
          <w:sz w:val="32"/>
          <w:szCs w:val="32"/>
        </w:rPr>
        <w:t>（二）公务接待费支出年初预算数为13</w:t>
      </w:r>
      <w:r>
        <w:rPr>
          <w:rFonts w:hint="eastAsia" w:ascii="仿宋_GB2312" w:eastAsia="仿宋_GB2312" w:hAnsiTheme="minorEastAsia" w:cstheme="minorEastAsia"/>
          <w:sz w:val="32"/>
          <w:szCs w:val="32"/>
          <w:lang w:val="en-US" w:eastAsia="zh-CN"/>
        </w:rPr>
        <w:t>00</w:t>
      </w:r>
      <w:r>
        <w:rPr>
          <w:rFonts w:hint="eastAsia" w:ascii="仿宋_GB2312" w:eastAsia="仿宋_GB2312" w:hAnsiTheme="minorEastAsia" w:cstheme="minorEastAsia"/>
          <w:sz w:val="32"/>
          <w:szCs w:val="32"/>
        </w:rPr>
        <w:t>元，决算数为</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元，完成预算的</w:t>
      </w:r>
      <w:r>
        <w:rPr>
          <w:rFonts w:hint="eastAsia" w:ascii="仿宋_GB2312" w:eastAsia="仿宋_GB2312" w:hAnsiTheme="minorEastAsia" w:cstheme="minorEastAsia"/>
          <w:sz w:val="32"/>
          <w:szCs w:val="32"/>
          <w:lang w:val="en-US" w:eastAsia="zh-CN"/>
        </w:rPr>
        <w:t>0</w:t>
      </w:r>
      <w:r>
        <w:rPr>
          <w:rFonts w:hint="eastAsia" w:ascii="仿宋_GB2312" w:eastAsia="仿宋_GB2312" w:hAnsiTheme="minorEastAsia" w:cstheme="minorEastAsia"/>
          <w:sz w:val="32"/>
          <w:szCs w:val="32"/>
        </w:rPr>
        <w:t>%，决算数较2018年减少</w:t>
      </w:r>
      <w:r>
        <w:rPr>
          <w:rFonts w:hint="eastAsia" w:ascii="仿宋_GB2312" w:eastAsia="仿宋_GB2312" w:hAnsiTheme="minorEastAsia" w:cstheme="minorEastAsia"/>
          <w:sz w:val="32"/>
          <w:szCs w:val="32"/>
          <w:lang w:val="en-US" w:eastAsia="zh-CN"/>
        </w:rPr>
        <w:t>1987</w:t>
      </w:r>
      <w:r>
        <w:rPr>
          <w:rFonts w:hint="eastAsia" w:ascii="仿宋_GB2312" w:eastAsia="仿宋_GB2312" w:hAnsiTheme="minorEastAsia" w:cstheme="minorEastAsia"/>
          <w:sz w:val="32"/>
          <w:szCs w:val="32"/>
        </w:rPr>
        <w:t>元。</w:t>
      </w:r>
      <w:r>
        <w:rPr>
          <w:rFonts w:hint="eastAsia" w:ascii="仿宋_GB2312" w:eastAsia="仿宋_GB2312" w:hAnsiTheme="minorEastAsia" w:cstheme="minorEastAsia"/>
          <w:sz w:val="32"/>
          <w:szCs w:val="32"/>
          <w:lang w:eastAsia="zh-CN"/>
        </w:rPr>
        <w:t>原因为本年度无公务接待支出。共接待批次</w:t>
      </w:r>
      <w:r>
        <w:rPr>
          <w:rFonts w:hint="eastAsia" w:ascii="仿宋_GB2312" w:eastAsia="仿宋_GB2312" w:hAnsiTheme="minorEastAsia" w:cstheme="minorEastAsia"/>
          <w:sz w:val="32"/>
          <w:szCs w:val="32"/>
          <w:lang w:val="en-US" w:eastAsia="zh-CN"/>
        </w:rPr>
        <w:t>0次，接待人次0人。</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三）公务用车购置及运行维护费支出0万元，其中公务用车购置年初预算数为0万元，决算数为0万元，完成预算的0%，决算数较2018年增加（减少）0万元，增长（下降）0%；公务用车运行维护费支出年初预算数为0万元，决算数为0万元，完成预算的0%，决算数较2018年增加（减少）0万元，增长（下降）0%。本年度公务用车购置数0，公务用车保有量0。</w:t>
      </w:r>
    </w:p>
    <w:p>
      <w:pPr>
        <w:ind w:firstLine="640" w:firstLineChars="200"/>
        <w:rPr>
          <w:rFonts w:hint="eastAsia" w:ascii="楷体" w:hAnsi="楷体" w:eastAsia="楷体" w:cstheme="minorEastAsia"/>
          <w:bCs/>
          <w:sz w:val="32"/>
          <w:szCs w:val="32"/>
        </w:rPr>
      </w:pPr>
      <w:r>
        <w:rPr>
          <w:rFonts w:hint="eastAsia" w:ascii="楷体" w:hAnsi="楷体" w:eastAsia="楷体" w:cstheme="minorEastAsia"/>
          <w:bCs/>
          <w:sz w:val="32"/>
          <w:szCs w:val="32"/>
        </w:rPr>
        <w:t>六、政府采购支出情况说明</w:t>
      </w:r>
    </w:p>
    <w:p>
      <w:pPr>
        <w:ind w:firstLine="640" w:firstLineChars="200"/>
        <w:rPr>
          <w:rFonts w:hint="eastAsia" w:ascii="仿宋_GB2312" w:eastAsia="仿宋_GB2312" w:hAnsiTheme="minorEastAsia" w:cstheme="minorEastAsia"/>
          <w:sz w:val="32"/>
          <w:szCs w:val="32"/>
        </w:rPr>
      </w:pPr>
      <w:r>
        <w:rPr>
          <w:rFonts w:hint="eastAsia" w:ascii="仿宋_GB2312" w:eastAsia="仿宋_GB2312" w:hAnsiTheme="minorEastAsia" w:cstheme="minorEastAsia"/>
          <w:sz w:val="32"/>
          <w:szCs w:val="32"/>
        </w:rPr>
        <w:t>本部门2019年度政府采购支出总额</w:t>
      </w:r>
      <w:r>
        <w:rPr>
          <w:rFonts w:hint="eastAsia" w:ascii="仿宋_GB2312" w:eastAsia="仿宋_GB2312" w:hAnsiTheme="minorEastAsia" w:cstheme="minorEastAsia"/>
          <w:sz w:val="32"/>
          <w:szCs w:val="32"/>
          <w:lang w:val="en-US" w:eastAsia="zh-CN"/>
        </w:rPr>
        <w:t>5122</w:t>
      </w:r>
      <w:r>
        <w:rPr>
          <w:rFonts w:hint="eastAsia" w:ascii="仿宋_GB2312" w:eastAsia="仿宋_GB2312" w:hAnsiTheme="minorEastAsia" w:cstheme="minorEastAsia"/>
          <w:sz w:val="32"/>
          <w:szCs w:val="32"/>
        </w:rPr>
        <w:t>元，其中：政府采购货物支出</w:t>
      </w:r>
      <w:r>
        <w:rPr>
          <w:rFonts w:hint="eastAsia" w:ascii="仿宋_GB2312" w:eastAsia="仿宋_GB2312" w:hAnsiTheme="minorEastAsia" w:cstheme="minorEastAsia"/>
          <w:sz w:val="32"/>
          <w:szCs w:val="32"/>
          <w:lang w:val="en-US" w:eastAsia="zh-CN"/>
        </w:rPr>
        <w:t>5122</w:t>
      </w:r>
      <w:r>
        <w:rPr>
          <w:rFonts w:hint="eastAsia" w:ascii="仿宋_GB2312" w:eastAsia="仿宋_GB2312" w:hAnsiTheme="minorEastAsia" w:cstheme="minorEastAsia"/>
          <w:sz w:val="32"/>
          <w:szCs w:val="32"/>
        </w:rPr>
        <w:t>元、政府采购工程支出0元、政府采购服务支出0元。授予中小企业合同金额0元，占政府采购支出总额的0%。</w:t>
      </w:r>
    </w:p>
    <w:p>
      <w:pPr>
        <w:ind w:firstLine="640" w:firstLineChars="200"/>
        <w:rPr>
          <w:rFonts w:ascii="楷体" w:hAnsi="楷体" w:eastAsia="楷体" w:cstheme="minorEastAsia"/>
          <w:b/>
          <w:color w:val="FF0000"/>
          <w:sz w:val="32"/>
          <w:szCs w:val="32"/>
        </w:rPr>
      </w:pPr>
      <w:r>
        <w:rPr>
          <w:rFonts w:hint="eastAsia" w:ascii="楷体" w:hAnsi="楷体" w:eastAsia="楷体" w:cstheme="minorEastAsia"/>
          <w:bCs/>
          <w:sz w:val="32"/>
          <w:szCs w:val="32"/>
        </w:rPr>
        <w:t>七、机关运行经费执行情况说明</w:t>
      </w:r>
    </w:p>
    <w:p>
      <w:pPr>
        <w:ind w:firstLine="640" w:firstLineChars="200"/>
        <w:rPr>
          <w:rFonts w:hint="eastAsia" w:ascii="仿宋_GB2312" w:hAnsi="仿宋" w:eastAsia="仿宋_GB2312" w:cstheme="minorEastAsia"/>
          <w:sz w:val="32"/>
          <w:szCs w:val="32"/>
        </w:rPr>
      </w:pPr>
      <w:r>
        <w:rPr>
          <w:rFonts w:hint="eastAsia" w:ascii="仿宋_GB2312" w:hAnsi="仿宋" w:eastAsia="仿宋_GB2312" w:cstheme="minorEastAsia"/>
          <w:sz w:val="32"/>
          <w:szCs w:val="32"/>
        </w:rPr>
        <w:t>本部门2019年度机关运行经费支出</w:t>
      </w:r>
      <w:r>
        <w:rPr>
          <w:rFonts w:hint="eastAsia" w:ascii="仿宋_GB2312" w:hAnsi="仿宋" w:eastAsia="仿宋_GB2312" w:cstheme="minorEastAsia"/>
          <w:sz w:val="32"/>
          <w:szCs w:val="32"/>
          <w:lang w:val="en-US" w:eastAsia="zh-CN"/>
        </w:rPr>
        <w:t>117402.93</w:t>
      </w:r>
      <w:r>
        <w:rPr>
          <w:rFonts w:hint="eastAsia" w:ascii="仿宋_GB2312" w:hAnsi="仿宋" w:eastAsia="仿宋_GB2312" w:cstheme="minorEastAsia"/>
          <w:sz w:val="32"/>
          <w:szCs w:val="32"/>
        </w:rPr>
        <w:t>元，较2018年减少</w:t>
      </w:r>
      <w:r>
        <w:rPr>
          <w:rFonts w:hint="eastAsia" w:ascii="仿宋_GB2312" w:hAnsi="仿宋" w:eastAsia="仿宋_GB2312" w:cstheme="minorEastAsia"/>
          <w:sz w:val="32"/>
          <w:szCs w:val="32"/>
          <w:lang w:val="en-US" w:eastAsia="zh-CN"/>
        </w:rPr>
        <w:t>8357.37</w:t>
      </w:r>
      <w:r>
        <w:rPr>
          <w:rFonts w:hint="eastAsia" w:ascii="仿宋_GB2312" w:hAnsi="仿宋" w:eastAsia="仿宋_GB2312" w:cstheme="minorEastAsia"/>
          <w:sz w:val="32"/>
          <w:szCs w:val="32"/>
        </w:rPr>
        <w:t>元，下降</w:t>
      </w:r>
      <w:r>
        <w:rPr>
          <w:rFonts w:hint="eastAsia" w:ascii="仿宋_GB2312" w:hAnsi="仿宋" w:eastAsia="仿宋_GB2312" w:cstheme="minorEastAsia"/>
          <w:sz w:val="32"/>
          <w:szCs w:val="32"/>
          <w:lang w:val="en-US" w:eastAsia="zh-CN"/>
        </w:rPr>
        <w:t>7.12</w:t>
      </w:r>
      <w:r>
        <w:rPr>
          <w:rFonts w:hint="eastAsia" w:ascii="仿宋_GB2312" w:hAnsi="仿宋" w:eastAsia="仿宋_GB2312" w:cstheme="minorEastAsia"/>
          <w:sz w:val="32"/>
          <w:szCs w:val="32"/>
        </w:rPr>
        <w:t xml:space="preserve">%，主要原因是：接待活动减少。 </w:t>
      </w:r>
    </w:p>
    <w:p>
      <w:pPr>
        <w:ind w:firstLine="640" w:firstLineChars="200"/>
        <w:rPr>
          <w:rFonts w:ascii="楷体" w:hAnsi="楷体" w:eastAsia="楷体" w:cstheme="minorEastAsia"/>
          <w:b/>
          <w:color w:val="FF0000"/>
          <w:sz w:val="32"/>
          <w:szCs w:val="32"/>
        </w:rPr>
      </w:pPr>
      <w:r>
        <w:rPr>
          <w:rStyle w:val="7"/>
          <w:rFonts w:hint="eastAsia" w:ascii="楷体" w:hAnsi="楷体" w:eastAsia="楷体" w:cs="宋体"/>
          <w:b w:val="0"/>
          <w:bCs/>
          <w:color w:val="333333"/>
          <w:sz w:val="32"/>
          <w:szCs w:val="32"/>
        </w:rPr>
        <w:t>八、国有资产占用情况说明</w:t>
      </w:r>
    </w:p>
    <w:p>
      <w:pPr>
        <w:pStyle w:val="4"/>
        <w:widowControl/>
        <w:spacing w:before="0" w:beforeAutospacing="0" w:after="0" w:afterAutospacing="0" w:line="30" w:lineRule="atLeast"/>
        <w:ind w:firstLine="640"/>
        <w:rPr>
          <w:rFonts w:hint="eastAsia" w:ascii="仿宋_GB2312" w:hAnsi="仿宋" w:eastAsia="仿宋_GB2312" w:cstheme="minorEastAsia"/>
          <w:kern w:val="2"/>
          <w:sz w:val="32"/>
          <w:szCs w:val="32"/>
          <w:lang w:val="en-US" w:eastAsia="zh-CN" w:bidi="ar-SA"/>
        </w:rPr>
      </w:pPr>
      <w:r>
        <w:rPr>
          <w:rFonts w:hint="eastAsia" w:ascii="仿宋_GB2312" w:hAnsi="仿宋" w:eastAsia="仿宋_GB2312" w:cstheme="minorEastAsia"/>
          <w:kern w:val="2"/>
          <w:sz w:val="32"/>
          <w:szCs w:val="32"/>
          <w:lang w:val="en-US" w:eastAsia="zh-CN" w:bidi="ar-SA"/>
        </w:rPr>
        <w:t>本部门共有车辆数合计0辆。；单价50万元以上通用设备0台/套，共计0元；单价100万元以上专用设备0台/套，0元。</w:t>
      </w:r>
    </w:p>
    <w:p>
      <w:pPr>
        <w:ind w:firstLine="640" w:firstLineChars="200"/>
        <w:rPr>
          <w:rStyle w:val="7"/>
          <w:rFonts w:ascii="楷体" w:hAnsi="楷体" w:eastAsia="楷体" w:cs="宋体"/>
          <w:b w:val="0"/>
          <w:bCs/>
          <w:color w:val="333333"/>
          <w:kern w:val="0"/>
          <w:sz w:val="32"/>
          <w:szCs w:val="32"/>
        </w:rPr>
      </w:pPr>
      <w:r>
        <w:rPr>
          <w:rStyle w:val="7"/>
          <w:rFonts w:hint="eastAsia" w:ascii="楷体" w:hAnsi="楷体" w:eastAsia="楷体" w:cs="宋体"/>
          <w:b w:val="0"/>
          <w:bCs/>
          <w:color w:val="333333"/>
          <w:kern w:val="0"/>
          <w:sz w:val="32"/>
          <w:szCs w:val="32"/>
        </w:rPr>
        <w:t>九、重点绩效评价结果等预算绩效情况说明</w:t>
      </w:r>
    </w:p>
    <w:p>
      <w:pPr>
        <w:pStyle w:val="4"/>
        <w:widowControl/>
        <w:spacing w:before="0" w:beforeAutospacing="0" w:after="0" w:afterAutospacing="0" w:line="30" w:lineRule="atLeast"/>
        <w:ind w:firstLine="640"/>
        <w:rPr>
          <w:rFonts w:hint="eastAsia" w:ascii="仿宋_GB2312" w:hAnsi="仿宋" w:eastAsia="仿宋_GB2312" w:cstheme="minorEastAsia"/>
          <w:kern w:val="2"/>
          <w:sz w:val="32"/>
          <w:szCs w:val="32"/>
          <w:lang w:val="en-US" w:eastAsia="zh-CN" w:bidi="ar-SA"/>
        </w:rPr>
      </w:pPr>
      <w:r>
        <w:rPr>
          <w:rFonts w:hint="eastAsia" w:ascii="仿宋_GB2312" w:hAnsi="仿宋" w:eastAsia="仿宋_GB2312" w:cstheme="minorEastAsia"/>
          <w:kern w:val="2"/>
          <w:sz w:val="32"/>
          <w:szCs w:val="32"/>
          <w:lang w:val="en-US" w:eastAsia="zh-CN" w:bidi="ar-SA"/>
        </w:rPr>
        <w:t>本部门本年度不涉及预算绩效项目。</w:t>
      </w:r>
    </w:p>
    <w:p>
      <w:pPr>
        <w:ind w:firstLine="640" w:firstLineChars="200"/>
        <w:rPr>
          <w:rFonts w:ascii="黑体" w:hAnsi="黑体" w:eastAsia="黑体" w:cstheme="minorEastAsia"/>
          <w:sz w:val="32"/>
          <w:szCs w:val="32"/>
        </w:rPr>
      </w:pPr>
      <w:r>
        <w:rPr>
          <w:rFonts w:hint="eastAsia" w:ascii="黑体" w:hAnsi="黑体" w:eastAsia="黑体" w:cstheme="minorEastAsia"/>
          <w:sz w:val="32"/>
          <w:szCs w:val="32"/>
        </w:rPr>
        <w:t>第四部分  名词解释</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一、财政拨款收入：指单位本年度从本级财政部门取得的财政拨款，包括一般公共预算财政拨款和政府性基金预算财政拨款。</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二、上级补助收入：指事业单位从主管部门和上级单位取得的非财政补助收入。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三、事业收入：指事业单位开展专业业务活动及其辅助活动取得的收入；事业单位收到的财政专户实际核拨的教育收费等资金在此反映。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四、经营收入：指事业单位在专业业务活动及其辅助活动之外开展非独立核算经营活动取得的收入。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五、附属单位缴款：指事业单位附属独立核算单位按照有关规定上缴的收入。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六、其他收入：指单位取得的除上述“财政拨款收入”、“事业收入”、“经营收入”、“附属单位缴款”等以外的各项收入。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七、用事业基金弥补收支差额：指事业单位用事业基金弥补当年收支差额的数额。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八、年初结转和结余：指单位上年结转本年使用的基本支出结转、项目支出结转和结余和经营结余。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九、结余分配：指事业单位按规定对非财政补助结余资金提取的职工福利基金、事业基金和缴纳的所得税，以及减少单位按规定应缴回的基本建设竣工项目结余资金。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十、年末结转和结余资金：指单位结转下年的基本支出结转、项目支出结转和结余和经营结余。</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十一、基本支出：指为保障机构正常运转、完成日常工作任务而发生的人员支出和公用支出。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十二、项目支出：指在基本支出之外为完成特定的行政任务或事业发展目标所发生的支出。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十三、上缴上级支出：指事业单位按照财政部门和主管部门的规定上缴上级单位的支出。</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十四、经营支出：指事业单位在专业业务活动及其辅助活动之外开展非独立核算经营活动发生的支出。</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十五、对附属单位补助支出：指事业单位用财政补助收入之外的收入对附属单位补助发生的支出。</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六、“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七、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mNjFmNjY0YTJjMzVjZWVkMmFlMTUxMDA0OTA4MTAifQ=="/>
  </w:docVars>
  <w:rsids>
    <w:rsidRoot w:val="48E87EB6"/>
    <w:rsid w:val="0001019D"/>
    <w:rsid w:val="0011026C"/>
    <w:rsid w:val="00121209"/>
    <w:rsid w:val="001330DE"/>
    <w:rsid w:val="0016003D"/>
    <w:rsid w:val="001C0185"/>
    <w:rsid w:val="002A78F3"/>
    <w:rsid w:val="002B74C9"/>
    <w:rsid w:val="003343CB"/>
    <w:rsid w:val="00353333"/>
    <w:rsid w:val="00356142"/>
    <w:rsid w:val="00481790"/>
    <w:rsid w:val="004A376B"/>
    <w:rsid w:val="005B0F3C"/>
    <w:rsid w:val="005F2480"/>
    <w:rsid w:val="00643BE9"/>
    <w:rsid w:val="00654829"/>
    <w:rsid w:val="0067479C"/>
    <w:rsid w:val="00696E76"/>
    <w:rsid w:val="00721EB4"/>
    <w:rsid w:val="00751A1A"/>
    <w:rsid w:val="00760ADC"/>
    <w:rsid w:val="007634B0"/>
    <w:rsid w:val="00764DD4"/>
    <w:rsid w:val="007F0BEA"/>
    <w:rsid w:val="00835152"/>
    <w:rsid w:val="008524E1"/>
    <w:rsid w:val="008934C9"/>
    <w:rsid w:val="00893847"/>
    <w:rsid w:val="008C542A"/>
    <w:rsid w:val="008D5CA9"/>
    <w:rsid w:val="00942F90"/>
    <w:rsid w:val="009436C0"/>
    <w:rsid w:val="009B6471"/>
    <w:rsid w:val="00A61D97"/>
    <w:rsid w:val="00B6569A"/>
    <w:rsid w:val="00B84099"/>
    <w:rsid w:val="00BD7E57"/>
    <w:rsid w:val="00BE38BF"/>
    <w:rsid w:val="00C323B4"/>
    <w:rsid w:val="00C91007"/>
    <w:rsid w:val="00CC30DB"/>
    <w:rsid w:val="00CF14FA"/>
    <w:rsid w:val="00D25442"/>
    <w:rsid w:val="00E51895"/>
    <w:rsid w:val="00E74F60"/>
    <w:rsid w:val="00F861AB"/>
    <w:rsid w:val="014A06B6"/>
    <w:rsid w:val="01DA336E"/>
    <w:rsid w:val="05E42E29"/>
    <w:rsid w:val="08427006"/>
    <w:rsid w:val="0C5A5250"/>
    <w:rsid w:val="0C64513E"/>
    <w:rsid w:val="0DE649EC"/>
    <w:rsid w:val="0EE25EB1"/>
    <w:rsid w:val="10CB3E8D"/>
    <w:rsid w:val="14BE3EED"/>
    <w:rsid w:val="16510D0A"/>
    <w:rsid w:val="1B4A6025"/>
    <w:rsid w:val="1E107510"/>
    <w:rsid w:val="209E0EC3"/>
    <w:rsid w:val="22140CC1"/>
    <w:rsid w:val="26CB5A68"/>
    <w:rsid w:val="2A937DAC"/>
    <w:rsid w:val="2DB60033"/>
    <w:rsid w:val="2F754CA8"/>
    <w:rsid w:val="315A7ACC"/>
    <w:rsid w:val="341824CB"/>
    <w:rsid w:val="343F3937"/>
    <w:rsid w:val="34D53928"/>
    <w:rsid w:val="37015ED3"/>
    <w:rsid w:val="3F5C42DA"/>
    <w:rsid w:val="431E5C9F"/>
    <w:rsid w:val="43E475B8"/>
    <w:rsid w:val="458B37F5"/>
    <w:rsid w:val="48832669"/>
    <w:rsid w:val="48E87EB6"/>
    <w:rsid w:val="4A4F3891"/>
    <w:rsid w:val="4D9B3CEE"/>
    <w:rsid w:val="52567629"/>
    <w:rsid w:val="582B68F4"/>
    <w:rsid w:val="5D083F24"/>
    <w:rsid w:val="60860A87"/>
    <w:rsid w:val="60B46440"/>
    <w:rsid w:val="635C762A"/>
    <w:rsid w:val="6DB64B5B"/>
    <w:rsid w:val="71FC58C7"/>
    <w:rsid w:val="7C7014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5FEA0-24F4-4537-AEB8-CE9BAE22201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3307</Words>
  <Characters>3705</Characters>
  <Lines>28</Lines>
  <Paragraphs>8</Paragraphs>
  <TotalTime>8</TotalTime>
  <ScaleCrop>false</ScaleCrop>
  <LinksUpToDate>false</LinksUpToDate>
  <CharactersWithSpaces>3770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2021-05-23T09:34:00Z</dcterms:created>
  <dc:creator>亚亚</dc:creator>
  <cp:lastModifiedBy>admin</cp:lastModifiedBy>
  <cp:lastPrinted>2019-09-11T06:01:00Z</cp:lastPrinted>
  <dcterms:modified xsi:type="dcterms:W3CDTF">2023-05-17T02:20:52Z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8304024CC34C471488CBB51ABA9FC321</vt:lpwstr>
  </property>
</Properties>
</file>