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heme="minorEastAsia"/>
          <w:sz w:val="24"/>
        </w:rPr>
      </w:pPr>
      <w:r>
        <w:rPr>
          <w:rFonts w:hint="eastAsia" w:ascii="黑体" w:hAnsi="黑体" w:eastAsia="黑体" w:cstheme="minorEastAsia"/>
          <w:sz w:val="24"/>
        </w:rPr>
        <w:t>附件1：</w:t>
      </w:r>
      <w:r>
        <w:rPr>
          <w:rFonts w:ascii="黑体" w:hAnsi="黑体" w:eastAsia="黑体" w:cstheme="minorEastAsia"/>
          <w:sz w:val="24"/>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rPr>
          <w:rFonts w:ascii="黑体" w:hAnsi="黑体" w:eastAsia="黑体" w:cstheme="minorEastAsia"/>
          <w:sz w:val="52"/>
          <w:szCs w:val="52"/>
        </w:rPr>
      </w:pPr>
    </w:p>
    <w:p>
      <w:pPr>
        <w:ind w:left="1040" w:hanging="1040" w:hangingChars="200"/>
        <w:rPr>
          <w:rFonts w:ascii="黑体" w:hAnsi="黑体" w:eastAsia="黑体" w:cstheme="minorEastAsia"/>
          <w:sz w:val="52"/>
          <w:szCs w:val="52"/>
        </w:rPr>
      </w:pPr>
      <w:r>
        <w:rPr>
          <w:rFonts w:hint="eastAsia" w:ascii="黑体" w:hAnsi="黑体" w:eastAsia="黑体" w:cstheme="minorEastAsia"/>
          <w:sz w:val="52"/>
          <w:szCs w:val="52"/>
        </w:rPr>
        <w:t>中国共产党襄垣县纪律检查委员会2019年度部门决算公开说明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2880" w:firstLineChars="900"/>
        <w:rPr>
          <w:rFonts w:ascii="黑体" w:hAnsi="黑体" w:eastAsia="黑体" w:cstheme="minorEastAsia"/>
          <w:sz w:val="32"/>
          <w:szCs w:val="32"/>
        </w:rPr>
      </w:pPr>
      <w:r>
        <w:rPr>
          <w:rFonts w:hint="eastAsia" w:ascii="黑体" w:hAnsi="黑体" w:eastAsia="黑体" w:cstheme="minorEastAsia"/>
          <w:sz w:val="32"/>
          <w:szCs w:val="32"/>
        </w:rPr>
        <w:t>2019年9月11日</w:t>
      </w:r>
    </w:p>
    <w:p>
      <w:pPr>
        <w:ind w:firstLine="640" w:firstLineChars="200"/>
        <w:jc w:val="center"/>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Theme="minorEastAsia" w:hAnsiTheme="minorEastAsia" w:cstheme="minorEastAsia"/>
          <w:sz w:val="32"/>
          <w:szCs w:val="32"/>
        </w:rPr>
      </w:pPr>
    </w:p>
    <w:p>
      <w:pPr>
        <w:spacing w:beforeLines="50" w:afterLines="100"/>
        <w:ind w:firstLine="880" w:firstLineChars="200"/>
        <w:jc w:val="center"/>
        <w:rPr>
          <w:rFonts w:ascii="黑体" w:hAnsi="黑体" w:eastAsia="黑体" w:cstheme="minorEastAsia"/>
          <w:sz w:val="44"/>
          <w:szCs w:val="44"/>
        </w:rPr>
      </w:pPr>
      <w:r>
        <w:rPr>
          <w:rFonts w:hint="eastAsia" w:ascii="黑体" w:hAnsi="黑体" w:eastAsia="黑体" w:cstheme="minorEastAsia"/>
          <w:sz w:val="44"/>
          <w:szCs w:val="44"/>
        </w:rPr>
        <w:t>目 录</w:t>
      </w:r>
    </w:p>
    <w:p>
      <w:pPr>
        <w:rPr>
          <w:rFonts w:ascii="黑体" w:hAnsi="黑体" w:eastAsia="黑体" w:cstheme="minorEastAsia"/>
          <w:sz w:val="32"/>
          <w:szCs w:val="32"/>
        </w:rPr>
      </w:pPr>
      <w:r>
        <w:rPr>
          <w:rFonts w:hint="eastAsia" w:ascii="黑体" w:hAnsi="黑体" w:eastAsia="黑体" w:cstheme="minorEastAsia"/>
          <w:sz w:val="32"/>
          <w:szCs w:val="32"/>
        </w:rPr>
        <w:t>第一部分  部门概况</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一、部门主要职责</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二、部门基本情况</w:t>
      </w:r>
    </w:p>
    <w:p>
      <w:pPr>
        <w:rPr>
          <w:rFonts w:ascii="黑体" w:hAnsi="黑体" w:eastAsia="黑体" w:cstheme="minorEastAsia"/>
          <w:sz w:val="32"/>
          <w:szCs w:val="32"/>
        </w:rPr>
      </w:pPr>
      <w:r>
        <w:rPr>
          <w:rFonts w:hint="eastAsia" w:ascii="黑体" w:hAnsi="黑体" w:eastAsia="黑体" w:cstheme="minorEastAsia"/>
          <w:sz w:val="32"/>
          <w:szCs w:val="32"/>
        </w:rPr>
        <w:t>第二部分  2019年度部门决算公开表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一、收入支出决算总表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二、收入决算表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四、财政拨款收入支出决算总表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五、一般公共预算财政拨款支出决算表（一）</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六、一般公共预算财政拨款支出决算表（二）</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七、一般公共预算财政拨款“三公”经费支出决算表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八、政府性基金预算财政拨款收入支出决算表</w:t>
      </w:r>
    </w:p>
    <w:p>
      <w:pPr>
        <w:ind w:firstLine="63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九、部门决算公开相关信息统计表</w:t>
      </w:r>
    </w:p>
    <w:p>
      <w:pPr>
        <w:rPr>
          <w:rFonts w:ascii="黑体" w:hAnsi="黑体" w:eastAsia="黑体" w:cstheme="minorEastAsia"/>
          <w:sz w:val="32"/>
          <w:szCs w:val="32"/>
        </w:rPr>
      </w:pPr>
      <w:r>
        <w:rPr>
          <w:rFonts w:hint="eastAsia" w:ascii="黑体" w:hAnsi="黑体" w:eastAsia="黑体" w:cstheme="minorEastAsia"/>
          <w:sz w:val="32"/>
          <w:szCs w:val="32"/>
        </w:rPr>
        <w:t>第三部分  2019年度部门决算情况说明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二、支出决算情况说明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三、一般公共预算财政拨款支出决算表公开到功能分类项级科目</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四、一般公共预算财政拨款基本支出决算表公开到经济性质分类款级科目</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五、一般公共预算财政拨款“三公”经费支出决算情况说明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六、政府采购支出情况说明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七、机关运行经费执行情况说明</w:t>
      </w:r>
    </w:p>
    <w:p>
      <w:pPr>
        <w:pStyle w:val="5"/>
        <w:widowControl/>
        <w:spacing w:before="0" w:beforeAutospacing="0" w:after="0" w:afterAutospacing="0" w:line="30" w:lineRule="atLeast"/>
        <w:ind w:firstLine="640" w:firstLineChars="200"/>
        <w:rPr>
          <w:rFonts w:ascii="仿宋_GB2312" w:eastAsia="仿宋_GB2312" w:hAnsiTheme="minorEastAsia" w:cstheme="minorEastAsia"/>
          <w:kern w:val="2"/>
          <w:sz w:val="32"/>
          <w:szCs w:val="32"/>
        </w:rPr>
      </w:pPr>
      <w:r>
        <w:rPr>
          <w:rFonts w:hint="eastAsia" w:ascii="仿宋_GB2312" w:eastAsia="仿宋_GB2312" w:hAnsiTheme="minorEastAsia" w:cstheme="minorEastAsia"/>
          <w:sz w:val="32"/>
          <w:szCs w:val="32"/>
        </w:rPr>
        <w:t>八、</w:t>
      </w:r>
      <w:r>
        <w:rPr>
          <w:rFonts w:hint="eastAsia" w:ascii="仿宋_GB2312" w:eastAsia="仿宋_GB2312" w:hAnsiTheme="minorEastAsia" w:cstheme="minorEastAsia"/>
          <w:kern w:val="2"/>
          <w:sz w:val="32"/>
          <w:szCs w:val="32"/>
        </w:rPr>
        <w:t>国有资产占用情况说明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九、重点绩效评价结果等预算绩效情况说明</w:t>
      </w:r>
    </w:p>
    <w:p>
      <w:pPr>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rPr>
          <w:rFonts w:asciiTheme="minorEastAsia" w:hAnsiTheme="minorEastAsia" w:cstheme="minorEastAsia"/>
          <w:sz w:val="32"/>
          <w:szCs w:val="32"/>
        </w:rPr>
      </w:pPr>
    </w:p>
    <w:p>
      <w:pPr>
        <w:ind w:firstLine="640" w:firstLineChars="200"/>
        <w:rPr>
          <w:rFonts w:ascii="黑体" w:hAnsi="黑体" w:eastAsia="黑体" w:cstheme="minorEastAsia"/>
          <w:sz w:val="32"/>
          <w:szCs w:val="32"/>
        </w:rPr>
      </w:pPr>
    </w:p>
    <w:p>
      <w:pPr>
        <w:ind w:firstLine="643" w:firstLineChars="200"/>
        <w:rPr>
          <w:rFonts w:ascii="黑体" w:hAnsi="黑体" w:eastAsia="黑体" w:cstheme="minorEastAsia"/>
          <w:b/>
          <w:bCs/>
          <w:sz w:val="32"/>
          <w:szCs w:val="32"/>
        </w:rPr>
      </w:pPr>
    </w:p>
    <w:p>
      <w:pPr>
        <w:ind w:firstLine="643" w:firstLineChars="200"/>
        <w:rPr>
          <w:rFonts w:ascii="黑体" w:hAnsi="黑体" w:eastAsia="黑体" w:cstheme="minorEastAsia"/>
          <w:b/>
          <w:bCs/>
          <w:sz w:val="32"/>
          <w:szCs w:val="32"/>
        </w:rPr>
      </w:pPr>
      <w:r>
        <w:rPr>
          <w:rFonts w:hint="eastAsia" w:ascii="黑体" w:hAnsi="黑体" w:eastAsia="黑体" w:cstheme="minorEastAsia"/>
          <w:b/>
          <w:bCs/>
          <w:sz w:val="32"/>
          <w:szCs w:val="32"/>
        </w:rPr>
        <w:t xml:space="preserve">第一部分  </w:t>
      </w:r>
      <w:r>
        <w:rPr>
          <w:rFonts w:hint="eastAsia" w:ascii="黑体" w:hAnsi="黑体" w:eastAsia="黑体" w:cs="黑体"/>
          <w:b/>
          <w:bCs/>
          <w:sz w:val="32"/>
          <w:szCs w:val="32"/>
        </w:rPr>
        <w:t>中国共产党襄垣县纪律检查委员会部门</w:t>
      </w:r>
      <w:r>
        <w:rPr>
          <w:rFonts w:hint="eastAsia" w:ascii="黑体" w:hAnsi="黑体" w:eastAsia="黑体" w:cstheme="minorEastAsia"/>
          <w:b/>
          <w:bCs/>
          <w:sz w:val="32"/>
          <w:szCs w:val="32"/>
        </w:rPr>
        <w:t>概况</w:t>
      </w:r>
    </w:p>
    <w:p>
      <w:pPr>
        <w:ind w:firstLine="643" w:firstLineChars="200"/>
        <w:rPr>
          <w:rFonts w:ascii="楷体" w:hAnsi="楷体" w:eastAsia="楷体" w:cstheme="minorEastAsia"/>
          <w:b/>
          <w:color w:val="FF0000"/>
          <w:sz w:val="32"/>
          <w:szCs w:val="32"/>
        </w:rPr>
      </w:pPr>
      <w:r>
        <w:rPr>
          <w:rFonts w:hint="eastAsia" w:ascii="楷体" w:hAnsi="楷体" w:eastAsia="楷体" w:cstheme="minorEastAsia"/>
          <w:b/>
          <w:sz w:val="32"/>
          <w:szCs w:val="32"/>
        </w:rPr>
        <w:t>一、部门主要职能</w:t>
      </w:r>
    </w:p>
    <w:p>
      <w:pPr>
        <w:pStyle w:val="11"/>
        <w:ind w:firstLine="640"/>
        <w:jc w:val="both"/>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主管全县党的纪律检查工作，负责贯彻落实上级党委、纪委和县委关于加强党风廉政建设的决定，维护党的章程和其他党内法规，检查党的路线、方针、政策和决议的执行情况；负责对党风廉政建设责任制执行情况进行监督检查。</w:t>
      </w:r>
      <w:r>
        <w:rPr>
          <w:rFonts w:eastAsia="仿宋"/>
          <w:sz w:val="32"/>
          <w:szCs w:val="32"/>
        </w:rPr>
        <w:t> </w:t>
      </w:r>
    </w:p>
    <w:p>
      <w:pPr>
        <w:pStyle w:val="11"/>
        <w:ind w:firstLine="640"/>
        <w:jc w:val="both"/>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 xml:space="preserve"> 负责全县监察工作。</w:t>
      </w:r>
    </w:p>
    <w:p>
      <w:pPr>
        <w:pStyle w:val="11"/>
        <w:ind w:firstLine="640"/>
        <w:jc w:val="both"/>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 xml:space="preserve"> 负责组织协调全县党风廉政建设和反腐败工作，承担县委反腐败领导小组办公室的工作职责。</w:t>
      </w:r>
    </w:p>
    <w:p>
      <w:pPr>
        <w:pStyle w:val="11"/>
        <w:ind w:firstLine="640"/>
        <w:jc w:val="both"/>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 xml:space="preserve"> 负责检查并处理县级机关部门、各乡镇（区）的组织和县委管理的党员领导干部违反党的章程及党内法规的案件，决定对这些案件中的党组织和党员的处分或提出给予处分的建议。必要时直接查处下级党的</w:t>
      </w:r>
      <w:r>
        <w:rPr>
          <w:rFonts w:hint="eastAsia" w:ascii="仿宋" w:hAnsi="仿宋" w:eastAsia="仿宋"/>
          <w:sz w:val="32"/>
          <w:szCs w:val="32"/>
        </w:rPr>
        <w:t>纪律检查</w:t>
      </w:r>
      <w:bookmarkStart w:id="0" w:name="_GoBack"/>
      <w:bookmarkEnd w:id="0"/>
      <w:r>
        <w:rPr>
          <w:rFonts w:ascii="仿宋" w:hAnsi="仿宋" w:eastAsia="仿宋"/>
          <w:sz w:val="32"/>
          <w:szCs w:val="32"/>
        </w:rPr>
        <w:t>机关管辖范围内的案件。</w:t>
      </w:r>
    </w:p>
    <w:p>
      <w:pPr>
        <w:pStyle w:val="11"/>
        <w:ind w:firstLine="640"/>
        <w:jc w:val="both"/>
        <w:rPr>
          <w:rFonts w:ascii="仿宋" w:hAnsi="仿宋" w:eastAsia="仿宋"/>
          <w:sz w:val="32"/>
          <w:szCs w:val="32"/>
        </w:rPr>
      </w:pPr>
      <w:r>
        <w:rPr>
          <w:rFonts w:hint="eastAsia" w:ascii="仿宋" w:hAnsi="仿宋" w:eastAsia="仿宋"/>
          <w:sz w:val="32"/>
          <w:szCs w:val="32"/>
        </w:rPr>
        <w:t>（五）、在县委领导下会同有关部门，做好纪检监察干部的管理工作；负责审核、考察乡镇纪委领导班子的人选；负责县纪委监委派出纪检监察机构领导干部的提名、考核和管理，组织和指导全县纪检监察干部的培训工作。</w:t>
      </w:r>
    </w:p>
    <w:p>
      <w:pPr>
        <w:pStyle w:val="11"/>
        <w:ind w:firstLine="640"/>
        <w:jc w:val="both"/>
        <w:rPr>
          <w:rFonts w:ascii="仿宋" w:hAnsi="仿宋" w:eastAsia="仿宋"/>
          <w:sz w:val="32"/>
          <w:szCs w:val="32"/>
        </w:rPr>
      </w:pPr>
      <w:r>
        <w:rPr>
          <w:rFonts w:hint="eastAsia" w:ascii="仿宋" w:hAnsi="仿宋" w:eastAsia="仿宋"/>
          <w:sz w:val="32"/>
          <w:szCs w:val="32"/>
        </w:rPr>
        <w:t>（六）、对管辖范围内的全县公职人员开展廉政教育，对其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县人民检察院依法审查、提起公诉；向监察对象所在单位提出监察建议。</w:t>
      </w:r>
    </w:p>
    <w:p>
      <w:pPr>
        <w:pStyle w:val="11"/>
        <w:ind w:firstLine="640"/>
        <w:jc w:val="both"/>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受理党员的控告和申诉；受理监察对象不服政务处分的申诉；受理个人或单位对党员干部和监察对象违纪行为的检举、控告；保护党员和国家工作人员的正当权利和合法权益。</w:t>
      </w:r>
      <w:r>
        <w:rPr>
          <w:rFonts w:eastAsia="仿宋"/>
          <w:sz w:val="32"/>
          <w:szCs w:val="32"/>
        </w:rPr>
        <w:t> </w:t>
      </w:r>
    </w:p>
    <w:p>
      <w:pPr>
        <w:pStyle w:val="11"/>
        <w:ind w:firstLine="640"/>
        <w:jc w:val="both"/>
        <w:rPr>
          <w:rFonts w:ascii="仿宋" w:hAnsi="仿宋" w:eastAsia="仿宋"/>
          <w:sz w:val="32"/>
          <w:szCs w:val="32"/>
        </w:rPr>
      </w:pPr>
      <w:r>
        <w:rPr>
          <w:rFonts w:hint="eastAsia" w:ascii="仿宋" w:hAnsi="仿宋" w:eastAsia="仿宋"/>
          <w:sz w:val="32"/>
          <w:szCs w:val="32"/>
        </w:rPr>
        <w:t>（八）、</w:t>
      </w:r>
      <w:r>
        <w:rPr>
          <w:rFonts w:ascii="仿宋" w:hAnsi="仿宋" w:eastAsia="仿宋"/>
          <w:sz w:val="32"/>
          <w:szCs w:val="32"/>
        </w:rPr>
        <w:t xml:space="preserve"> 配合有关部门做好党的纪律检查工作和监察工作的方针、政策、法律、法规的宣传工作；教育党员和国家工作人员遵纪守法，为政清廉。</w:t>
      </w:r>
    </w:p>
    <w:p>
      <w:pPr>
        <w:pStyle w:val="11"/>
        <w:ind w:firstLine="640"/>
        <w:jc w:val="both"/>
        <w:rPr>
          <w:rFonts w:ascii="仿宋" w:hAnsi="仿宋" w:eastAsia="仿宋" w:cs="黑体"/>
          <w:sz w:val="32"/>
          <w:szCs w:val="32"/>
        </w:rPr>
      </w:pPr>
      <w:r>
        <w:rPr>
          <w:rFonts w:hint="eastAsia" w:ascii="仿宋" w:hAnsi="仿宋" w:eastAsia="仿宋"/>
          <w:sz w:val="32"/>
          <w:szCs w:val="32"/>
        </w:rPr>
        <w:t>（九）、</w:t>
      </w:r>
      <w:r>
        <w:rPr>
          <w:rFonts w:ascii="仿宋" w:hAnsi="仿宋" w:eastAsia="仿宋"/>
          <w:sz w:val="32"/>
          <w:szCs w:val="32"/>
        </w:rPr>
        <w:t xml:space="preserve"> 负责对党的纪律检查和监察工作的理论研究；对党风廉政建设和反腐败工作中带苗头性、倾向性的问题进行调查研究。</w:t>
      </w:r>
    </w:p>
    <w:p>
      <w:pPr>
        <w:ind w:firstLine="643" w:firstLineChars="200"/>
        <w:rPr>
          <w:rFonts w:ascii="楷体" w:hAnsi="楷体" w:eastAsia="楷体" w:cstheme="minorEastAsia"/>
          <w:b/>
          <w:sz w:val="32"/>
          <w:szCs w:val="32"/>
        </w:rPr>
      </w:pPr>
      <w:r>
        <w:rPr>
          <w:rFonts w:hint="eastAsia" w:ascii="楷体" w:hAnsi="楷体" w:eastAsia="楷体" w:cstheme="minorEastAsia"/>
          <w:b/>
          <w:sz w:val="32"/>
          <w:szCs w:val="32"/>
        </w:rPr>
        <w:t>二、部门基本情况</w:t>
      </w:r>
    </w:p>
    <w:p>
      <w:pPr>
        <w:widowControl/>
        <w:spacing w:line="324" w:lineRule="atLeast"/>
        <w:ind w:left="540"/>
        <w:jc w:val="left"/>
        <w:rPr>
          <w:rFonts w:ascii="仿宋_GB2312" w:hAnsi="楷体" w:eastAsia="仿宋_GB2312" w:cs="宋体"/>
          <w:bCs/>
          <w:color w:val="333333"/>
          <w:kern w:val="0"/>
          <w:sz w:val="18"/>
          <w:szCs w:val="18"/>
        </w:rPr>
      </w:pPr>
      <w:r>
        <w:rPr>
          <w:rFonts w:hint="eastAsia" w:ascii="仿宋_GB2312" w:hAnsi="楷体" w:eastAsia="仿宋_GB2312" w:cs="宋体"/>
          <w:bCs/>
          <w:color w:val="333333"/>
          <w:kern w:val="0"/>
          <w:sz w:val="32"/>
          <w:szCs w:val="32"/>
        </w:rPr>
        <w:t>（一）机构设置情况</w:t>
      </w:r>
    </w:p>
    <w:p>
      <w:pPr>
        <w:pStyle w:val="12"/>
        <w:ind w:firstLine="640"/>
        <w:rPr>
          <w:rFonts w:ascii="仿宋" w:hAnsi="仿宋" w:eastAsia="仿宋" w:cs="Times New Roman"/>
          <w:sz w:val="32"/>
          <w:szCs w:val="32"/>
        </w:rPr>
      </w:pPr>
      <w:r>
        <w:rPr>
          <w:rFonts w:hint="eastAsia" w:ascii="仿宋" w:hAnsi="仿宋" w:eastAsia="仿宋"/>
          <w:sz w:val="32"/>
          <w:szCs w:val="32"/>
        </w:rPr>
        <w:t>中国共产党襄垣县纪律检查委员会负责全县党的纪律检查工作，襄垣县监察委员会负责全县监察工作。襄垣县监察委员会与县纪律检查委员会合署办公，实行</w:t>
      </w:r>
      <w:r>
        <w:rPr>
          <w:rFonts w:hint="eastAsia" w:ascii="仿宋" w:hAnsi="仿宋" w:eastAsia="仿宋" w:cs="仿宋"/>
          <w:sz w:val="32"/>
          <w:szCs w:val="32"/>
        </w:rPr>
        <w:t>一套人马两块牌子，履行执纪监督监察工作职能。</w:t>
      </w:r>
      <w:r>
        <w:rPr>
          <w:rFonts w:hint="eastAsia" w:ascii="仿宋" w:hAnsi="仿宋" w:eastAsia="仿宋" w:cs="Times New Roman"/>
          <w:sz w:val="32"/>
          <w:szCs w:val="32"/>
        </w:rPr>
        <w:t>行政一级核算单位，财务关系隶属襄垣县。机关内设</w:t>
      </w:r>
      <w:r>
        <w:rPr>
          <w:rFonts w:ascii="仿宋" w:hAnsi="仿宋" w:eastAsia="仿宋" w:cs="Times New Roman"/>
          <w:sz w:val="32"/>
          <w:szCs w:val="32"/>
        </w:rPr>
        <w:t>1</w:t>
      </w:r>
      <w:r>
        <w:rPr>
          <w:rFonts w:hint="eastAsia" w:ascii="仿宋" w:hAnsi="仿宋" w:eastAsia="仿宋" w:cs="Times New Roman"/>
          <w:sz w:val="32"/>
          <w:szCs w:val="32"/>
        </w:rPr>
        <w:t>2</w:t>
      </w:r>
      <w:r>
        <w:rPr>
          <w:rFonts w:ascii="仿宋" w:hAnsi="仿宋" w:eastAsia="仿宋" w:cs="Times New Roman"/>
          <w:sz w:val="32"/>
          <w:szCs w:val="32"/>
        </w:rPr>
        <w:t>个行政科室</w:t>
      </w:r>
      <w:r>
        <w:rPr>
          <w:rFonts w:hint="eastAsia" w:ascii="仿宋" w:hAnsi="仿宋" w:eastAsia="仿宋" w:cs="Times New Roman"/>
          <w:sz w:val="32"/>
          <w:szCs w:val="32"/>
        </w:rPr>
        <w:t>（办公室、信访室、党风政风监督室、案件监督管理室、第一、第二案件审理室、第一至四监督检查室、第一、第二审查调查室）</w:t>
      </w:r>
      <w:r>
        <w:rPr>
          <w:rFonts w:ascii="仿宋" w:hAnsi="仿宋" w:eastAsia="仿宋" w:cs="Times New Roman"/>
          <w:sz w:val="32"/>
          <w:szCs w:val="32"/>
        </w:rPr>
        <w:t>，</w:t>
      </w:r>
      <w:r>
        <w:rPr>
          <w:rFonts w:hint="eastAsia" w:ascii="仿宋" w:hAnsi="仿宋" w:eastAsia="仿宋" w:cs="Times New Roman"/>
          <w:sz w:val="32"/>
          <w:szCs w:val="32"/>
        </w:rPr>
        <w:t>10个派驻纪检监察组，1个县直纪工委，</w:t>
      </w:r>
      <w:r>
        <w:rPr>
          <w:rFonts w:ascii="仿宋" w:hAnsi="仿宋" w:eastAsia="仿宋" w:cs="Times New Roman"/>
          <w:sz w:val="32"/>
          <w:szCs w:val="32"/>
        </w:rPr>
        <w:t>下属2个全额拨款事业单位</w:t>
      </w:r>
      <w:r>
        <w:rPr>
          <w:rFonts w:hint="eastAsia" w:ascii="仿宋" w:hAnsi="仿宋" w:eastAsia="仿宋" w:cs="Times New Roman"/>
          <w:sz w:val="32"/>
          <w:szCs w:val="32"/>
        </w:rPr>
        <w:t>（纪检监察干部教育培训中心、纪检网络举报中心）</w:t>
      </w:r>
      <w:r>
        <w:rPr>
          <w:rFonts w:ascii="仿宋" w:hAnsi="仿宋" w:eastAsia="仿宋" w:cs="Times New Roman"/>
          <w:sz w:val="32"/>
          <w:szCs w:val="32"/>
        </w:rPr>
        <w:t>。共有行政编制</w:t>
      </w:r>
      <w:r>
        <w:rPr>
          <w:rFonts w:hint="eastAsia" w:ascii="仿宋" w:hAnsi="仿宋" w:eastAsia="仿宋" w:cs="Times New Roman"/>
          <w:sz w:val="32"/>
          <w:szCs w:val="32"/>
        </w:rPr>
        <w:t>92</w:t>
      </w:r>
      <w:r>
        <w:rPr>
          <w:rFonts w:ascii="仿宋" w:hAnsi="仿宋" w:eastAsia="仿宋" w:cs="Times New Roman"/>
          <w:sz w:val="32"/>
          <w:szCs w:val="32"/>
        </w:rPr>
        <w:t>个，</w:t>
      </w:r>
      <w:r>
        <w:rPr>
          <w:rFonts w:hint="eastAsia" w:ascii="仿宋" w:hAnsi="仿宋" w:eastAsia="仿宋" w:cs="Times New Roman"/>
          <w:sz w:val="32"/>
          <w:szCs w:val="32"/>
        </w:rPr>
        <w:t>行政工勤3个，</w:t>
      </w:r>
      <w:r>
        <w:rPr>
          <w:rFonts w:ascii="仿宋" w:hAnsi="仿宋" w:eastAsia="仿宋" w:cs="Times New Roman"/>
          <w:sz w:val="32"/>
          <w:szCs w:val="32"/>
        </w:rPr>
        <w:t>事业编制17个；本期实有在职人数</w:t>
      </w:r>
      <w:r>
        <w:rPr>
          <w:rFonts w:hint="eastAsia" w:ascii="仿宋" w:hAnsi="仿宋" w:eastAsia="仿宋" w:cs="Times New Roman"/>
          <w:sz w:val="32"/>
          <w:szCs w:val="32"/>
        </w:rPr>
        <w:t>94</w:t>
      </w:r>
      <w:r>
        <w:rPr>
          <w:rFonts w:ascii="仿宋" w:hAnsi="仿宋" w:eastAsia="仿宋" w:cs="Times New Roman"/>
          <w:sz w:val="32"/>
          <w:szCs w:val="32"/>
        </w:rPr>
        <w:t>人，其中行政</w:t>
      </w:r>
      <w:r>
        <w:rPr>
          <w:rFonts w:hint="eastAsia" w:ascii="仿宋" w:hAnsi="仿宋" w:eastAsia="仿宋" w:cs="Times New Roman"/>
          <w:sz w:val="32"/>
          <w:szCs w:val="32"/>
        </w:rPr>
        <w:t>78</w:t>
      </w:r>
      <w:r>
        <w:rPr>
          <w:rFonts w:ascii="仿宋" w:hAnsi="仿宋" w:eastAsia="仿宋" w:cs="Times New Roman"/>
          <w:sz w:val="32"/>
          <w:szCs w:val="32"/>
        </w:rPr>
        <w:t>人，</w:t>
      </w:r>
      <w:r>
        <w:rPr>
          <w:rFonts w:hint="eastAsia" w:ascii="仿宋" w:hAnsi="仿宋" w:eastAsia="仿宋" w:cs="Times New Roman"/>
          <w:sz w:val="32"/>
          <w:szCs w:val="32"/>
        </w:rPr>
        <w:t>行政工勤2人，</w:t>
      </w:r>
      <w:r>
        <w:rPr>
          <w:rFonts w:ascii="仿宋" w:hAnsi="仿宋" w:eastAsia="仿宋" w:cs="Times New Roman"/>
          <w:sz w:val="32"/>
          <w:szCs w:val="32"/>
        </w:rPr>
        <w:t>事业</w:t>
      </w:r>
      <w:r>
        <w:rPr>
          <w:rFonts w:hint="eastAsia" w:ascii="仿宋" w:hAnsi="仿宋" w:eastAsia="仿宋" w:cs="Times New Roman"/>
          <w:sz w:val="32"/>
          <w:szCs w:val="32"/>
        </w:rPr>
        <w:t>14</w:t>
      </w:r>
      <w:r>
        <w:rPr>
          <w:rFonts w:ascii="仿宋" w:hAnsi="仿宋" w:eastAsia="仿宋" w:cs="Times New Roman"/>
          <w:sz w:val="32"/>
          <w:szCs w:val="32"/>
        </w:rPr>
        <w:t>人。</w:t>
      </w:r>
    </w:p>
    <w:p>
      <w:pPr>
        <w:widowControl/>
        <w:spacing w:line="324" w:lineRule="atLeast"/>
        <w:ind w:left="540"/>
        <w:jc w:val="left"/>
        <w:rPr>
          <w:rFonts w:ascii="仿宋_GB2312" w:hAnsi="楷体" w:eastAsia="仿宋_GB2312" w:cs="宋体"/>
          <w:bCs/>
          <w:color w:val="333333"/>
          <w:kern w:val="0"/>
          <w:sz w:val="32"/>
          <w:szCs w:val="32"/>
        </w:rPr>
      </w:pPr>
      <w:r>
        <w:rPr>
          <w:rFonts w:hint="eastAsia" w:ascii="仿宋_GB2312" w:hAnsi="楷体" w:eastAsia="仿宋_GB2312" w:cs="宋体"/>
          <w:bCs/>
          <w:color w:val="333333"/>
          <w:kern w:val="0"/>
          <w:sz w:val="32"/>
          <w:szCs w:val="32"/>
        </w:rPr>
        <w:t>（二）人员情况说明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现有行政、事业编制112名，其中，行政编制92名，行政工勤3名，事业编制17名。实有94人，其中行政78人，行政工勤2人，事业人员14名。</w:t>
      </w:r>
    </w:p>
    <w:p>
      <w:pPr>
        <w:ind w:firstLine="645"/>
        <w:rPr>
          <w:rFonts w:ascii="仿宋" w:hAnsi="仿宋" w:eastAsia="仿宋" w:cs="宋体"/>
          <w:kern w:val="0"/>
          <w:sz w:val="32"/>
          <w:szCs w:val="32"/>
        </w:rPr>
      </w:pPr>
      <w:r>
        <w:rPr>
          <w:rFonts w:hint="eastAsia" w:ascii="仿宋" w:hAnsi="仿宋" w:eastAsia="仿宋" w:cs="仿宋_GB2312"/>
          <w:sz w:val="32"/>
          <w:szCs w:val="32"/>
        </w:rPr>
        <w:t>（三）</w:t>
      </w:r>
      <w:r>
        <w:rPr>
          <w:rFonts w:hint="eastAsia" w:ascii="仿宋" w:hAnsi="仿宋" w:eastAsia="仿宋" w:cstheme="minorEastAsia"/>
          <w:sz w:val="32"/>
          <w:szCs w:val="32"/>
        </w:rPr>
        <w:t>本套部门决算汇编范围的单位共1个，包括：</w:t>
      </w:r>
      <w:r>
        <w:rPr>
          <w:rFonts w:hint="eastAsia" w:ascii="仿宋" w:hAnsi="仿宋" w:eastAsia="仿宋"/>
          <w:sz w:val="32"/>
          <w:szCs w:val="32"/>
        </w:rPr>
        <w:t>中国共产党襄垣县纪律检查委员会。</w:t>
      </w:r>
    </w:p>
    <w:p>
      <w:pPr>
        <w:ind w:firstLine="645"/>
        <w:rPr>
          <w:rFonts w:ascii="黑体" w:hAnsi="黑体" w:eastAsia="黑体" w:cstheme="minorEastAsia"/>
          <w:sz w:val="32"/>
          <w:szCs w:val="32"/>
        </w:rPr>
      </w:pPr>
      <w:r>
        <w:rPr>
          <w:rFonts w:hint="eastAsia" w:ascii="黑体" w:hAnsi="黑体" w:eastAsia="黑体" w:cstheme="minorEastAsia"/>
          <w:sz w:val="32"/>
          <w:szCs w:val="32"/>
        </w:rPr>
        <w:t>第二部分  2019年度部门决算公开表</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ind w:firstLine="640" w:firstLineChars="200"/>
        <w:rPr>
          <w:rFonts w:ascii="黑体" w:hAnsi="黑体" w:eastAsia="黑体" w:cstheme="minorEastAsia"/>
          <w:color w:val="C00000"/>
          <w:sz w:val="32"/>
          <w:szCs w:val="32"/>
        </w:rPr>
      </w:pPr>
      <w:r>
        <w:rPr>
          <w:rFonts w:hint="eastAsia" w:ascii="黑体" w:hAnsi="黑体" w:eastAsia="黑体" w:cstheme="minorEastAsia"/>
          <w:sz w:val="32"/>
          <w:szCs w:val="32"/>
        </w:rPr>
        <w:t>第三部分  2019年度部门决算情况说明</w:t>
      </w:r>
    </w:p>
    <w:p>
      <w:pPr>
        <w:ind w:firstLine="640" w:firstLineChars="200"/>
        <w:rPr>
          <w:rFonts w:ascii="楷体" w:hAnsi="楷体" w:eastAsia="楷体" w:cstheme="minorEastAsia"/>
          <w:b/>
          <w:color w:val="FF0000"/>
          <w:sz w:val="32"/>
          <w:szCs w:val="32"/>
        </w:rPr>
      </w:pPr>
      <w:r>
        <w:rPr>
          <w:rFonts w:hint="eastAsia" w:ascii="楷体" w:hAnsi="楷体" w:eastAsia="楷体" w:cstheme="minorEastAsia"/>
          <w:bCs/>
          <w:sz w:val="32"/>
          <w:szCs w:val="32"/>
        </w:rPr>
        <w:t>一、收入决算情况说明</w:t>
      </w:r>
    </w:p>
    <w:p>
      <w:pPr>
        <w:ind w:firstLine="640" w:firstLineChars="200"/>
        <w:rPr>
          <w:rFonts w:ascii="仿宋" w:hAnsi="仿宋" w:eastAsia="仿宋" w:cs="仿宋"/>
          <w:sz w:val="32"/>
          <w:szCs w:val="32"/>
        </w:rPr>
      </w:pPr>
      <w:r>
        <w:rPr>
          <w:rFonts w:hint="eastAsia" w:ascii="仿宋" w:hAnsi="仿宋" w:eastAsia="仿宋" w:cs="仿宋"/>
          <w:sz w:val="32"/>
          <w:szCs w:val="32"/>
        </w:rPr>
        <w:t>本部门2019年度收入总计905.56万元，其中年初结转和结余1.86万元，较2018年增加235.29万元，增长35.10%；本年收入合计903.69万元，较2018年增加236.36万元，增长35.42%，主要原因是：监察体制改革，人员的调入，工资福利及经费的增加。</w:t>
      </w:r>
    </w:p>
    <w:p>
      <w:pPr>
        <w:ind w:firstLine="640" w:firstLineChars="200"/>
        <w:rPr>
          <w:rFonts w:ascii="仿宋" w:hAnsi="仿宋" w:eastAsia="仿宋" w:cs="仿宋"/>
          <w:color w:val="5B9BD5" w:themeColor="accent1"/>
          <w:sz w:val="32"/>
          <w:szCs w:val="32"/>
        </w:rPr>
      </w:pPr>
      <w:r>
        <w:rPr>
          <w:rFonts w:hint="eastAsia" w:ascii="仿宋" w:hAnsi="仿宋" w:eastAsia="仿宋" w:cs="仿宋"/>
          <w:sz w:val="32"/>
          <w:szCs w:val="32"/>
        </w:rPr>
        <w:t>本年收入的具体构成为：本年收入的具体构成为：财政拨款收入</w:t>
      </w:r>
      <w:r>
        <w:rPr>
          <w:rFonts w:hint="eastAsia" w:ascii="仿宋" w:hAnsi="仿宋" w:eastAsia="仿宋" w:cs="华文仿宋"/>
          <w:sz w:val="32"/>
          <w:szCs w:val="32"/>
        </w:rPr>
        <w:t>903.69万元，占总收入的100%</w:t>
      </w:r>
      <w:r>
        <w:rPr>
          <w:rFonts w:hint="eastAsia" w:ascii="仿宋" w:hAnsi="仿宋" w:eastAsia="仿宋" w:cs="仿宋"/>
          <w:color w:val="5B9BD5" w:themeColor="accent1"/>
          <w:sz w:val="32"/>
          <w:szCs w:val="32"/>
        </w:rPr>
        <w:t xml:space="preserve">。  </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二、支出决算情况说明</w:t>
      </w:r>
    </w:p>
    <w:p>
      <w:pPr>
        <w:spacing w:line="360" w:lineRule="auto"/>
        <w:ind w:firstLine="642"/>
        <w:rPr>
          <w:rFonts w:ascii="仿宋" w:hAnsi="仿宋" w:eastAsia="仿宋" w:cs="华文仿宋"/>
          <w:sz w:val="32"/>
          <w:szCs w:val="32"/>
        </w:rPr>
      </w:pPr>
      <w:r>
        <w:rPr>
          <w:rFonts w:hint="eastAsia" w:ascii="仿宋" w:hAnsi="仿宋" w:eastAsia="仿宋" w:cstheme="minorEastAsia"/>
          <w:sz w:val="32"/>
          <w:szCs w:val="32"/>
        </w:rPr>
        <w:t>本部门2019年度支出总计905.56万元，其中本年支出合计903.75万元，较2018年</w:t>
      </w:r>
      <w:r>
        <w:rPr>
          <w:rFonts w:hint="eastAsia" w:ascii="仿宋" w:hAnsi="仿宋" w:eastAsia="仿宋" w:cs="仿宋"/>
          <w:sz w:val="32"/>
          <w:szCs w:val="32"/>
        </w:rPr>
        <w:t>增加235.29</w:t>
      </w:r>
      <w:r>
        <w:rPr>
          <w:rFonts w:hint="eastAsia" w:ascii="仿宋" w:hAnsi="仿宋" w:eastAsia="仿宋" w:cstheme="minorEastAsia"/>
          <w:sz w:val="32"/>
          <w:szCs w:val="32"/>
        </w:rPr>
        <w:t>万元，</w:t>
      </w:r>
      <w:r>
        <w:rPr>
          <w:rFonts w:hint="eastAsia" w:ascii="仿宋" w:hAnsi="仿宋" w:eastAsia="仿宋" w:cs="仿宋"/>
          <w:sz w:val="32"/>
          <w:szCs w:val="32"/>
        </w:rPr>
        <w:t>增长35.10%</w:t>
      </w:r>
      <w:r>
        <w:rPr>
          <w:rFonts w:hint="eastAsia" w:ascii="仿宋" w:hAnsi="仿宋" w:eastAsia="仿宋" w:cstheme="minorEastAsia"/>
          <w:sz w:val="32"/>
          <w:szCs w:val="32"/>
        </w:rPr>
        <w:t>，年末结转和结余1.80万元，主要原因是：</w:t>
      </w:r>
      <w:r>
        <w:rPr>
          <w:rFonts w:hint="eastAsia" w:ascii="仿宋" w:hAnsi="仿宋" w:eastAsia="仿宋" w:cs="仿宋"/>
          <w:sz w:val="32"/>
          <w:szCs w:val="32"/>
        </w:rPr>
        <w:t>由于本年度派驻机构所有人员日常经费全部由县纪委机关统一管理，统一支出。日常监督检查及案件查办业务量的增加，机关运行的各项经费支出也随之增加；</w:t>
      </w:r>
      <w:r>
        <w:rPr>
          <w:rFonts w:hint="eastAsia" w:ascii="仿宋" w:hAnsi="仿宋" w:eastAsia="仿宋" w:cs="华文仿宋"/>
          <w:sz w:val="32"/>
          <w:szCs w:val="32"/>
        </w:rPr>
        <w:t>纪检监察涉密专网建设与维护的不断投入</w:t>
      </w:r>
      <w:r>
        <w:rPr>
          <w:rFonts w:hint="eastAsia" w:ascii="仿宋" w:hAnsi="仿宋" w:eastAsia="仿宋" w:cs="仿宋"/>
          <w:sz w:val="32"/>
          <w:szCs w:val="32"/>
        </w:rPr>
        <w:t>，综合数字一体化执纪监督平台的建设；人员工资及福利的正常晋升调整；</w:t>
      </w:r>
      <w:r>
        <w:rPr>
          <w:rFonts w:hint="eastAsia" w:ascii="仿宋" w:hAnsi="仿宋" w:eastAsia="仿宋" w:cs="华文仿宋"/>
          <w:sz w:val="32"/>
          <w:szCs w:val="32"/>
        </w:rPr>
        <w:t>按照省、市纪委监委培训全覆盖相关要求，机关干部全员参加省、市纪委监委组织的各项培训学习，</w:t>
      </w:r>
      <w:r>
        <w:rPr>
          <w:rFonts w:hint="eastAsia" w:ascii="仿宋" w:hAnsi="仿宋" w:eastAsia="仿宋" w:cs="仿宋"/>
          <w:sz w:val="32"/>
          <w:szCs w:val="32"/>
        </w:rPr>
        <w:t>全员学习的各项培训费用也有所增加，2019年度各项经费投入也较上年有所增长。</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本年支出的具体构成为：基本支出831.14万元，占91.96%；项目支出72.61万元，占8.04%；经营支出0万元，占0%；其他支出（对附属单位补助支出、上缴上级支出）0万元，占0%。</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三、一般公共预算财政拨款支出决算表公开到功能分类项级科目（05表）</w:t>
      </w:r>
    </w:p>
    <w:p>
      <w:pPr>
        <w:ind w:firstLine="640" w:firstLineChars="200"/>
        <w:rPr>
          <w:rFonts w:ascii="仿宋_GB2312" w:eastAsia="仿宋_GB2312" w:hAnsiTheme="minorEastAsia" w:cstheme="minorEastAsia"/>
          <w:color w:val="5B9BD5" w:themeColor="accent1"/>
          <w:sz w:val="32"/>
          <w:szCs w:val="32"/>
        </w:rPr>
      </w:pPr>
      <w:r>
        <w:rPr>
          <w:rFonts w:hint="eastAsia" w:ascii="仿宋" w:hAnsi="仿宋" w:eastAsia="仿宋" w:cstheme="minorEastAsia"/>
          <w:sz w:val="32"/>
          <w:szCs w:val="32"/>
        </w:rPr>
        <w:t>本部门2019年度财政拨款本年支出年初预算数为   903.75万元，决算数为903.75万元，完成年初预算的100%。其中：一般公共服务支出年初预算数为</w:t>
      </w:r>
      <w:r>
        <w:rPr>
          <w:rStyle w:val="13"/>
          <w:rFonts w:hint="eastAsia" w:ascii="仿宋" w:hAnsi="仿宋" w:eastAsia="仿宋"/>
        </w:rPr>
        <w:t>903.75</w:t>
      </w:r>
      <w:r>
        <w:rPr>
          <w:rFonts w:hint="eastAsia" w:ascii="仿宋" w:hAnsi="仿宋" w:eastAsia="仿宋" w:cstheme="minorEastAsia"/>
          <w:sz w:val="32"/>
          <w:szCs w:val="32"/>
        </w:rPr>
        <w:t>万元，决算数为903.75万元，完成年初预算的 100%，主要原因是：工资福利支出及日常监督检查及案件查办的支出；教育支出决算数0万元；社会保障和就业支出决算数0万元</w:t>
      </w:r>
      <w:r>
        <w:rPr>
          <w:rFonts w:hint="eastAsia" w:ascii="仿宋_GB2312" w:eastAsia="仿宋_GB2312" w:hAnsiTheme="minorEastAsia" w:cstheme="minorEastAsia"/>
          <w:color w:val="5B9BD5" w:themeColor="accent1"/>
          <w:sz w:val="32"/>
          <w:szCs w:val="32"/>
        </w:rPr>
        <w:t>。</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四、一般公共预算财政拨款基本支出决算表公开到经济性质分类款级科目（06表）</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本部门2019年度一般公共预算财政拨款基本支出794.21万元，其中：</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（一）工资福利支出671.37万元，较2018年增加175.31万元，增长35.34%，主要原因是：监察体制改革人员的调入。</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（二）商品和服务支出120.65元，较2018年增加38.18万元，增加46.3%，主要原因是：监察体制改革人员增加，业务增加，日常运行经费也随之增加。</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（三）对个人和家庭补助支出2.18万元，较2018年增加1.53万元，增加235.76%，主要原因是：监察体制改革人员的调入。</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（四）资本性支出0元，较2018年增加0元。</w:t>
      </w:r>
    </w:p>
    <w:p>
      <w:pPr>
        <w:ind w:firstLine="640" w:firstLineChars="200"/>
        <w:rPr>
          <w:rFonts w:ascii="楷体" w:hAnsi="楷体" w:eastAsia="楷体" w:cstheme="minorEastAsia"/>
          <w:b/>
          <w:color w:val="FF0000"/>
          <w:sz w:val="32"/>
          <w:szCs w:val="32"/>
        </w:rPr>
      </w:pPr>
      <w:r>
        <w:rPr>
          <w:rFonts w:hint="eastAsia" w:ascii="楷体" w:hAnsi="楷体" w:eastAsia="楷体" w:cstheme="minorEastAsia"/>
          <w:bCs/>
          <w:sz w:val="32"/>
          <w:szCs w:val="32"/>
        </w:rPr>
        <w:t>五、一般公共预算财政拨款“三公”经费支出决算情况说明</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本部门2019年度一般公共预算财政拨款“三公”经费支出年初预算数为5.88万元，决算数为5.88万元，完成预算的100%，决算数较2018年减少1.67万元，下降22.1%，其中：</w:t>
      </w:r>
    </w:p>
    <w:p>
      <w:pPr>
        <w:numPr>
          <w:ilvl w:val="0"/>
          <w:numId w:val="1"/>
        </w:numPr>
        <w:ind w:firstLine="640" w:firstLineChars="200"/>
        <w:rPr>
          <w:rFonts w:ascii="仿宋" w:hAnsi="仿宋" w:eastAsia="仿宋" w:cstheme="minorEastAsia"/>
          <w:sz w:val="32"/>
          <w:szCs w:val="32"/>
        </w:rPr>
      </w:pPr>
      <w:r>
        <w:rPr>
          <w:rFonts w:hint="eastAsia" w:ascii="仿宋" w:hAnsi="仿宋" w:eastAsia="仿宋" w:cstheme="minorEastAsia"/>
          <w:sz w:val="32"/>
          <w:szCs w:val="32"/>
        </w:rPr>
        <w:t>因公出国（境）支出年初预算数为0万元，决算数为0万元，完成预算的0%，因公出国（境）团组数为0，人数为0。决算数较2018年增加（减少）0万元，增长（下降）0%。</w:t>
      </w:r>
    </w:p>
    <w:p>
      <w:pPr>
        <w:rPr>
          <w:rFonts w:ascii="仿宋" w:hAnsi="仿宋" w:eastAsia="仿宋" w:cstheme="minorEastAsia"/>
          <w:sz w:val="32"/>
          <w:szCs w:val="32"/>
        </w:rPr>
      </w:pPr>
      <w:r>
        <w:rPr>
          <w:rFonts w:hint="eastAsia" w:ascii="仿宋" w:hAnsi="仿宋" w:eastAsia="仿宋" w:cstheme="minorEastAsia"/>
          <w:sz w:val="32"/>
          <w:szCs w:val="32"/>
        </w:rPr>
        <w:t>　　（二）公务接待费支出年初预算数为0.95万元，决算数为0.95万元，完成预算的100%，决算数较2018年减少0.26万元，下降38.18%。主要原因是：专项活动减少。本年度国内公务接待共56批次，共327人。</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三）公务用车购置及运行维护费支出0万元，其中公务用车购置年初预算数为0万元，决算数为0万元，完成预算的0%，决算数较2018年增加（减少）0万元，增长（下降）0%；公务用车运行维护费支出年初预算数为4.92万元，决算数为4.92万元，完成预算的100%，决算数较2018年减少1.94万元，下降28.17%。本年度公务用车购置数0，公务用车保有量5辆，均为执纪监督车辆。</w:t>
      </w:r>
    </w:p>
    <w:p>
      <w:pPr>
        <w:ind w:firstLine="640" w:firstLineChars="200"/>
        <w:rPr>
          <w:rFonts w:hint="eastAsia" w:ascii="楷体" w:hAnsi="楷体" w:eastAsia="楷体" w:cstheme="minorEastAsia"/>
          <w:b/>
          <w:color w:val="FF0000"/>
          <w:sz w:val="32"/>
          <w:szCs w:val="32"/>
        </w:rPr>
      </w:pPr>
      <w:r>
        <w:rPr>
          <w:rFonts w:hint="eastAsia" w:ascii="楷体" w:hAnsi="楷体" w:eastAsia="楷体" w:cstheme="minorEastAsia"/>
          <w:bCs/>
          <w:sz w:val="32"/>
          <w:szCs w:val="32"/>
        </w:rPr>
        <w:t>六、政府采购支出情况说明</w:t>
      </w:r>
    </w:p>
    <w:p>
      <w:pPr>
        <w:ind w:firstLine="640" w:firstLineChars="200"/>
        <w:rPr>
          <w:rFonts w:hint="eastAsia" w:ascii="仿宋" w:hAnsi="仿宋" w:eastAsia="仿宋" w:cstheme="minorEastAsia"/>
          <w:sz w:val="32"/>
          <w:szCs w:val="32"/>
        </w:rPr>
      </w:pPr>
      <w:r>
        <w:rPr>
          <w:rFonts w:hint="eastAsia" w:ascii="仿宋" w:hAnsi="仿宋" w:eastAsia="仿宋" w:cstheme="minorEastAsia"/>
          <w:sz w:val="32"/>
          <w:szCs w:val="32"/>
        </w:rPr>
        <w:t>本部门2019年度政府采购支出总额37.31万元，其中：政府采购货物支出37,31万元、政府采购工程支出0万元、政府采购服务支出0万元。授予中小企业合同金额0万元，占政府采购支出总额的0%。</w:t>
      </w:r>
    </w:p>
    <w:p>
      <w:pPr>
        <w:ind w:firstLine="640" w:firstLineChars="200"/>
        <w:rPr>
          <w:rFonts w:ascii="楷体" w:hAnsi="楷体" w:eastAsia="楷体" w:cstheme="minorEastAsia"/>
          <w:b/>
          <w:color w:val="FF0000"/>
          <w:sz w:val="32"/>
          <w:szCs w:val="32"/>
        </w:rPr>
      </w:pPr>
      <w:r>
        <w:rPr>
          <w:rFonts w:hint="eastAsia" w:ascii="楷体" w:hAnsi="楷体" w:eastAsia="楷体" w:cstheme="minorEastAsia"/>
          <w:bCs/>
          <w:sz w:val="32"/>
          <w:szCs w:val="32"/>
        </w:rPr>
        <w:t>七、机关运行经费执行情况说明</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本部门2019年度机关运行经费支出120.65万元，较2018年增加38.18万元，</w:t>
      </w:r>
      <w:r>
        <w:rPr>
          <w:rFonts w:hint="eastAsia" w:ascii="仿宋" w:hAnsi="仿宋" w:eastAsia="仿宋" w:cs="华文仿宋"/>
          <w:sz w:val="32"/>
          <w:szCs w:val="32"/>
        </w:rPr>
        <w:t>增长46.30%</w:t>
      </w:r>
      <w:r>
        <w:rPr>
          <w:rFonts w:hint="eastAsia" w:ascii="仿宋" w:hAnsi="仿宋" w:eastAsia="仿宋" w:cstheme="minorEastAsia"/>
          <w:sz w:val="32"/>
          <w:szCs w:val="32"/>
        </w:rPr>
        <w:t xml:space="preserve">，主要原因是： </w:t>
      </w:r>
      <w:r>
        <w:rPr>
          <w:rFonts w:hint="eastAsia" w:ascii="仿宋" w:hAnsi="仿宋" w:eastAsia="仿宋" w:cs="华文仿宋"/>
          <w:sz w:val="32"/>
          <w:szCs w:val="32"/>
        </w:rPr>
        <w:t>2018年度我委派驻机构共计47人，其日常运行经费由我委统一预算，下拨到派驻组所驻单位进行列支，不纳入我委年终决算。本年度派驻机构所有人员日常经费全部纳入机关统一预算，统一列支，</w:t>
      </w:r>
      <w:r>
        <w:rPr>
          <w:rFonts w:hint="eastAsia" w:ascii="仿宋" w:hAnsi="仿宋" w:eastAsia="仿宋" w:cs="仿宋"/>
          <w:sz w:val="32"/>
          <w:szCs w:val="32"/>
        </w:rPr>
        <w:t>从而机关日常运行所需的办公经费等各项费用也随之有所增长。</w:t>
      </w:r>
    </w:p>
    <w:p>
      <w:pPr>
        <w:ind w:firstLine="640" w:firstLineChars="200"/>
        <w:rPr>
          <w:rFonts w:ascii="楷体" w:hAnsi="楷体" w:eastAsia="楷体" w:cstheme="minorEastAsia"/>
          <w:b/>
          <w:color w:val="FF0000"/>
          <w:sz w:val="32"/>
          <w:szCs w:val="32"/>
        </w:rPr>
      </w:pPr>
      <w:r>
        <w:rPr>
          <w:rStyle w:val="8"/>
          <w:rFonts w:hint="eastAsia" w:ascii="楷体" w:hAnsi="楷体" w:eastAsia="楷体" w:cs="宋体"/>
          <w:b w:val="0"/>
          <w:bCs/>
          <w:color w:val="333333"/>
          <w:sz w:val="32"/>
          <w:szCs w:val="32"/>
        </w:rPr>
        <w:t>八、国有资产占用情况说明</w:t>
      </w:r>
    </w:p>
    <w:p>
      <w:pPr>
        <w:pStyle w:val="5"/>
        <w:widowControl/>
        <w:spacing w:before="0" w:beforeAutospacing="0" w:after="0" w:afterAutospacing="0" w:line="30" w:lineRule="atLeast"/>
        <w:ind w:firstLine="640"/>
        <w:rPr>
          <w:rStyle w:val="8"/>
          <w:rFonts w:ascii="仿宋" w:hAnsi="仿宋" w:eastAsia="仿宋" w:cs="宋体"/>
          <w:b w:val="0"/>
          <w:sz w:val="32"/>
          <w:szCs w:val="32"/>
        </w:rPr>
      </w:pPr>
      <w:r>
        <w:rPr>
          <w:rStyle w:val="8"/>
          <w:rFonts w:hint="eastAsia" w:ascii="仿宋" w:hAnsi="仿宋" w:eastAsia="仿宋" w:cs="宋体"/>
          <w:b w:val="0"/>
          <w:sz w:val="32"/>
          <w:szCs w:val="32"/>
        </w:rPr>
        <w:t>本部门共有车辆数合计2辆。；单价50万元以上通用设备0台/套，共计0元；单价100万元以上专用设备0台/套，0元。</w:t>
      </w:r>
    </w:p>
    <w:p>
      <w:pPr>
        <w:ind w:firstLine="640" w:firstLineChars="200"/>
        <w:rPr>
          <w:rStyle w:val="8"/>
          <w:rFonts w:ascii="楷体" w:hAnsi="楷体" w:eastAsia="楷体" w:cs="宋体"/>
          <w:b w:val="0"/>
          <w:bCs/>
          <w:color w:val="333333"/>
          <w:kern w:val="0"/>
          <w:sz w:val="32"/>
          <w:szCs w:val="32"/>
        </w:rPr>
      </w:pPr>
      <w:r>
        <w:rPr>
          <w:rStyle w:val="8"/>
          <w:rFonts w:hint="eastAsia" w:ascii="楷体" w:hAnsi="楷体" w:eastAsia="楷体" w:cs="宋体"/>
          <w:b w:val="0"/>
          <w:bCs/>
          <w:color w:val="333333"/>
          <w:kern w:val="0"/>
          <w:sz w:val="32"/>
          <w:szCs w:val="32"/>
        </w:rPr>
        <w:t>九、重点绩效评价结果等预算绩效情况说明</w:t>
      </w:r>
    </w:p>
    <w:p>
      <w:pPr>
        <w:pStyle w:val="5"/>
        <w:widowControl/>
        <w:spacing w:before="0" w:beforeAutospacing="0" w:after="0" w:afterAutospacing="0" w:line="30" w:lineRule="atLeast"/>
        <w:ind w:firstLine="640"/>
        <w:rPr>
          <w:rStyle w:val="8"/>
          <w:rFonts w:ascii="仿宋_GB2312" w:hAnsi="楷体" w:eastAsia="仿宋_GB2312" w:cs="宋体"/>
          <w:b w:val="0"/>
          <w:sz w:val="32"/>
          <w:szCs w:val="32"/>
        </w:rPr>
      </w:pPr>
      <w:r>
        <w:rPr>
          <w:rStyle w:val="8"/>
          <w:rFonts w:hint="eastAsia" w:ascii="仿宋_GB2312" w:hAnsi="楷体" w:eastAsia="仿宋_GB2312" w:cs="宋体"/>
          <w:b w:val="0"/>
          <w:sz w:val="32"/>
          <w:szCs w:val="32"/>
        </w:rPr>
        <w:t>本部门本年度不涉及预算绩效项目。</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一、财政拨款收入：指单位本年度从本级财政部门取得的财政拨款，包括一般公共预算财政拨款和政府性基金预算财政拨款。</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二、上级补助收入：指事业单位从主管部门和上级单位取得的非财政补助收入。</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四、经营收入：指事业单位在专业业务活动及其辅助活动之外开展非独立核算经营活动取得的收入。</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五、附属单位缴款：指事业单位附属独立核算单位按照有关规定上缴的收入。</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 xml:space="preserve">六、其他收入：指单位取得的除上述“财政拨款收入”、“事业收入”、“经营收入”、“附属单位缴款”等以外的各项收入。 </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 xml:space="preserve">七、用事业基金弥补收支差额：指事业单位用事业基金弥补当年收支差额的数额。 </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 xml:space="preserve">八、年初结转和结余：指单位上年结转本年使用的基本支出结转、项目支出结转和结余和经营结余。 </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十、年末结转和结余资金：指单位结转下年的基本支出结转、项目支出结转和结余和经营结余。</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 xml:space="preserve">十一、基本支出：指为保障机构正常运转、完成日常工作任务而发生的人员支出和公用支出。 </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 xml:space="preserve">十二、项目支出：指在基本支出之外为完成特定的行政任务或事业发展目标所发生的支出。 </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十三、上缴上级支出：指事业单位按照财政部门和主管部门的规定上缴上级单位的支出。</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十四、经营支出：指事业单位在专业业务活动及其辅助活动之外开展非独立核算经营活动发生的支出。</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十五、对附属单位补助支出：指事业单位用财政补助收入之外的收入对附属单位补助发生的支出。</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jlmNjFmNjY0YTJjMzVjZWVkMmFlMTUxMDA0OTA4MTAifQ=="/>
  </w:docVars>
  <w:rsids>
    <w:rsidRoot w:val="48E87EB6"/>
    <w:rsid w:val="0001019D"/>
    <w:rsid w:val="000A47C8"/>
    <w:rsid w:val="000B70D5"/>
    <w:rsid w:val="0011026C"/>
    <w:rsid w:val="00121209"/>
    <w:rsid w:val="001330DE"/>
    <w:rsid w:val="00177B25"/>
    <w:rsid w:val="001C0185"/>
    <w:rsid w:val="0029747E"/>
    <w:rsid w:val="002A78F3"/>
    <w:rsid w:val="002B74C9"/>
    <w:rsid w:val="002E05CE"/>
    <w:rsid w:val="003343CB"/>
    <w:rsid w:val="00356142"/>
    <w:rsid w:val="00373B4C"/>
    <w:rsid w:val="00405E97"/>
    <w:rsid w:val="00481790"/>
    <w:rsid w:val="005330CD"/>
    <w:rsid w:val="005F2480"/>
    <w:rsid w:val="00643BE9"/>
    <w:rsid w:val="00653EC9"/>
    <w:rsid w:val="00696E76"/>
    <w:rsid w:val="006F4DFE"/>
    <w:rsid w:val="0072479B"/>
    <w:rsid w:val="00751A1A"/>
    <w:rsid w:val="00760ADC"/>
    <w:rsid w:val="007634B0"/>
    <w:rsid w:val="00835152"/>
    <w:rsid w:val="008524E1"/>
    <w:rsid w:val="008934C9"/>
    <w:rsid w:val="008C542A"/>
    <w:rsid w:val="008D0C60"/>
    <w:rsid w:val="008D5CA9"/>
    <w:rsid w:val="009436C0"/>
    <w:rsid w:val="009813F5"/>
    <w:rsid w:val="009B6471"/>
    <w:rsid w:val="009C79C0"/>
    <w:rsid w:val="00A04975"/>
    <w:rsid w:val="00A61D97"/>
    <w:rsid w:val="00B40A47"/>
    <w:rsid w:val="00B64B0D"/>
    <w:rsid w:val="00B84099"/>
    <w:rsid w:val="00B94A7F"/>
    <w:rsid w:val="00BD2BCB"/>
    <w:rsid w:val="00BD7E57"/>
    <w:rsid w:val="00C04895"/>
    <w:rsid w:val="00C91007"/>
    <w:rsid w:val="00CC30DB"/>
    <w:rsid w:val="00CF14FA"/>
    <w:rsid w:val="00D25442"/>
    <w:rsid w:val="00D32AB2"/>
    <w:rsid w:val="00DD63CE"/>
    <w:rsid w:val="00E0422F"/>
    <w:rsid w:val="00E629A0"/>
    <w:rsid w:val="00E74F60"/>
    <w:rsid w:val="00F04304"/>
    <w:rsid w:val="00F62F80"/>
    <w:rsid w:val="014A06B6"/>
    <w:rsid w:val="01DA336E"/>
    <w:rsid w:val="05E42E29"/>
    <w:rsid w:val="0C5A5250"/>
    <w:rsid w:val="0C64513E"/>
    <w:rsid w:val="0D085983"/>
    <w:rsid w:val="0DE649EC"/>
    <w:rsid w:val="0EE25EB1"/>
    <w:rsid w:val="10CB3E8D"/>
    <w:rsid w:val="1B4A6025"/>
    <w:rsid w:val="1E107510"/>
    <w:rsid w:val="209E0EC3"/>
    <w:rsid w:val="22140CC1"/>
    <w:rsid w:val="2A937DAC"/>
    <w:rsid w:val="2DB60033"/>
    <w:rsid w:val="2F754CA8"/>
    <w:rsid w:val="341824CB"/>
    <w:rsid w:val="343F3937"/>
    <w:rsid w:val="34D53928"/>
    <w:rsid w:val="37015ED3"/>
    <w:rsid w:val="3DFF98DF"/>
    <w:rsid w:val="3F5C42DA"/>
    <w:rsid w:val="43E475B8"/>
    <w:rsid w:val="458B37F5"/>
    <w:rsid w:val="48832669"/>
    <w:rsid w:val="48E87EB6"/>
    <w:rsid w:val="4A4F3891"/>
    <w:rsid w:val="4D9B3CEE"/>
    <w:rsid w:val="52567629"/>
    <w:rsid w:val="582B68F4"/>
    <w:rsid w:val="5D083F24"/>
    <w:rsid w:val="60860A87"/>
    <w:rsid w:val="60B46440"/>
    <w:rsid w:val="635C762A"/>
    <w:rsid w:val="71FC58C7"/>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99"/>
    <w:rPr>
      <w:rFonts w:asciiTheme="minorHAnsi" w:hAnsiTheme="minorHAnsi" w:eastAsiaTheme="minorEastAsia" w:cstheme="minorBidi"/>
      <w:kern w:val="2"/>
      <w:sz w:val="18"/>
      <w:szCs w:val="18"/>
    </w:rPr>
  </w:style>
  <w:style w:type="paragraph" w:customStyle="1" w:styleId="11">
    <w:name w:val="无间隔1"/>
    <w:qFormat/>
    <w:uiPriority w:val="99"/>
    <w:pPr>
      <w:ind w:firstLine="200" w:firstLineChars="200"/>
    </w:pPr>
    <w:rPr>
      <w:rFonts w:ascii="Times New Roman" w:hAnsi="Times New Roman" w:eastAsia="仿宋_GB2312" w:cs="Times New Roman"/>
      <w:sz w:val="30"/>
      <w:szCs w:val="22"/>
      <w:lang w:val="en-US" w:eastAsia="zh-CN" w:bidi="ar-SA"/>
    </w:rPr>
  </w:style>
  <w:style w:type="paragraph" w:customStyle="1" w:styleId="12">
    <w:name w:val="列出段落1"/>
    <w:basedOn w:val="1"/>
    <w:qFormat/>
    <w:uiPriority w:val="99"/>
    <w:pPr>
      <w:ind w:firstLine="420" w:firstLineChars="200"/>
    </w:pPr>
  </w:style>
  <w:style w:type="character" w:customStyle="1" w:styleId="13">
    <w:name w:val="标题 2 Char"/>
    <w:basedOn w:val="7"/>
    <w:link w:val="2"/>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745</Words>
  <Characters>4248</Characters>
  <Lines>35</Lines>
  <Paragraphs>9</Paragraphs>
  <TotalTime>108</TotalTime>
  <ScaleCrop>false</ScaleCrop>
  <LinksUpToDate>false</LinksUpToDate>
  <CharactersWithSpaces>4984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2021-05-21T10:08:00Z</dcterms:created>
  <dc:creator>亚亚</dc:creator>
  <cp:lastModifiedBy>企业用户_282967631</cp:lastModifiedBy>
  <cp:lastPrinted>2019-09-11T14:01:00Z</cp:lastPrinted>
  <dcterms:modified xsi:type="dcterms:W3CDTF">2024-12-01T02:09:57Z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1F956E329E1B4C3FBAE3F2B07280202C_12</vt:lpwstr>
  </property>
</Properties>
</file>