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CC432">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14:paraId="45E2DD8B">
      <w:pPr>
        <w:ind w:firstLine="640" w:firstLineChars="200"/>
        <w:jc w:val="center"/>
        <w:rPr>
          <w:rFonts w:asciiTheme="minorEastAsia" w:hAnsiTheme="minorEastAsia" w:cstheme="minorEastAsia"/>
          <w:sz w:val="32"/>
          <w:szCs w:val="32"/>
        </w:rPr>
      </w:pPr>
    </w:p>
    <w:p w14:paraId="624008BB">
      <w:pPr>
        <w:ind w:firstLine="640" w:firstLineChars="200"/>
        <w:jc w:val="center"/>
        <w:rPr>
          <w:rFonts w:asciiTheme="minorEastAsia" w:hAnsiTheme="minorEastAsia" w:cstheme="minorEastAsia"/>
          <w:sz w:val="32"/>
          <w:szCs w:val="32"/>
        </w:rPr>
      </w:pPr>
    </w:p>
    <w:p w14:paraId="502B719C">
      <w:pPr>
        <w:ind w:firstLine="640" w:firstLineChars="200"/>
        <w:jc w:val="center"/>
        <w:rPr>
          <w:rFonts w:asciiTheme="minorEastAsia" w:hAnsiTheme="minorEastAsia" w:cstheme="minorEastAsia"/>
          <w:sz w:val="32"/>
          <w:szCs w:val="32"/>
        </w:rPr>
      </w:pPr>
    </w:p>
    <w:p w14:paraId="68A64443">
      <w:pPr>
        <w:ind w:firstLine="640" w:firstLineChars="200"/>
        <w:jc w:val="center"/>
        <w:rPr>
          <w:rFonts w:asciiTheme="minorEastAsia" w:hAnsiTheme="minorEastAsia" w:cstheme="minorEastAsia"/>
          <w:sz w:val="32"/>
          <w:szCs w:val="32"/>
        </w:rPr>
      </w:pPr>
    </w:p>
    <w:p w14:paraId="781B62FC">
      <w:pPr>
        <w:ind w:firstLine="640" w:firstLineChars="200"/>
        <w:jc w:val="center"/>
        <w:rPr>
          <w:rFonts w:asciiTheme="minorEastAsia" w:hAnsiTheme="minorEastAsia" w:cstheme="minorEastAsia"/>
          <w:sz w:val="32"/>
          <w:szCs w:val="32"/>
        </w:rPr>
      </w:pPr>
    </w:p>
    <w:p w14:paraId="6BE26932">
      <w:pPr>
        <w:rPr>
          <w:rFonts w:ascii="黑体" w:hAnsi="黑体" w:eastAsia="黑体" w:cstheme="minorEastAsia"/>
          <w:sz w:val="52"/>
          <w:szCs w:val="52"/>
        </w:rPr>
      </w:pPr>
    </w:p>
    <w:p w14:paraId="2F1A20DF">
      <w:pPr>
        <w:jc w:val="center"/>
        <w:rPr>
          <w:rFonts w:ascii="黑体" w:hAnsi="黑体" w:eastAsia="黑体" w:cstheme="minorEastAsia"/>
          <w:sz w:val="52"/>
          <w:szCs w:val="52"/>
        </w:rPr>
      </w:pPr>
      <w:r>
        <w:rPr>
          <w:rFonts w:hint="eastAsia" w:ascii="黑体" w:hAnsi="黑体" w:eastAsia="黑体" w:cstheme="minorEastAsia"/>
          <w:sz w:val="52"/>
          <w:szCs w:val="52"/>
        </w:rPr>
        <w:t>襄垣县</w:t>
      </w:r>
      <w:r>
        <w:rPr>
          <w:rFonts w:hint="eastAsia" w:ascii="Arial" w:hAnsi="Arial" w:eastAsia="黑体" w:cs="Arial"/>
          <w:sz w:val="52"/>
          <w:szCs w:val="52"/>
        </w:rPr>
        <w:t>文学艺术界联合会</w:t>
      </w:r>
    </w:p>
    <w:p w14:paraId="6AAD49E1">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2019年度</w:t>
      </w:r>
      <w:r>
        <w:rPr>
          <w:rFonts w:hint="eastAsia" w:ascii="黑体" w:hAnsi="黑体" w:eastAsia="黑体" w:cstheme="minorEastAsia"/>
          <w:sz w:val="52"/>
          <w:szCs w:val="52"/>
          <w:lang w:eastAsia="zh-CN"/>
        </w:rPr>
        <w:t>部门</w:t>
      </w:r>
      <w:r>
        <w:rPr>
          <w:rFonts w:hint="eastAsia" w:ascii="黑体" w:hAnsi="黑体" w:eastAsia="黑体" w:cstheme="minorEastAsia"/>
          <w:sz w:val="52"/>
          <w:szCs w:val="52"/>
        </w:rPr>
        <w:t>决算公开说明</w:t>
      </w:r>
    </w:p>
    <w:p w14:paraId="685D0A24">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2AC95FA6">
      <w:pPr>
        <w:ind w:firstLine="640" w:firstLineChars="200"/>
        <w:jc w:val="center"/>
        <w:rPr>
          <w:rFonts w:asciiTheme="minorEastAsia" w:hAnsiTheme="minorEastAsia" w:cstheme="minorEastAsia"/>
          <w:sz w:val="32"/>
          <w:szCs w:val="32"/>
        </w:rPr>
      </w:pPr>
    </w:p>
    <w:p w14:paraId="318436C0">
      <w:pPr>
        <w:ind w:firstLine="640" w:firstLineChars="200"/>
        <w:jc w:val="center"/>
        <w:rPr>
          <w:rFonts w:asciiTheme="minorEastAsia" w:hAnsiTheme="minorEastAsia" w:cstheme="minorEastAsia"/>
          <w:sz w:val="32"/>
          <w:szCs w:val="32"/>
        </w:rPr>
      </w:pPr>
    </w:p>
    <w:p w14:paraId="1F9CC455">
      <w:pPr>
        <w:ind w:firstLine="640" w:firstLineChars="200"/>
        <w:jc w:val="center"/>
        <w:rPr>
          <w:rFonts w:asciiTheme="minorEastAsia" w:hAnsiTheme="minorEastAsia" w:cstheme="minorEastAsia"/>
          <w:sz w:val="32"/>
          <w:szCs w:val="32"/>
        </w:rPr>
      </w:pPr>
    </w:p>
    <w:p w14:paraId="34D8AADA">
      <w:pPr>
        <w:ind w:firstLine="640" w:firstLineChars="200"/>
        <w:jc w:val="center"/>
        <w:rPr>
          <w:rFonts w:asciiTheme="minorEastAsia" w:hAnsiTheme="minorEastAsia" w:cstheme="minorEastAsia"/>
          <w:sz w:val="32"/>
          <w:szCs w:val="32"/>
        </w:rPr>
      </w:pPr>
    </w:p>
    <w:p w14:paraId="4340A870">
      <w:pPr>
        <w:ind w:firstLine="640" w:firstLineChars="200"/>
        <w:jc w:val="center"/>
        <w:rPr>
          <w:rFonts w:asciiTheme="minorEastAsia" w:hAnsiTheme="minorEastAsia" w:cstheme="minorEastAsia"/>
          <w:sz w:val="32"/>
          <w:szCs w:val="32"/>
        </w:rPr>
      </w:pPr>
    </w:p>
    <w:p w14:paraId="2C537586">
      <w:pPr>
        <w:ind w:firstLine="640" w:firstLineChars="200"/>
        <w:jc w:val="center"/>
        <w:rPr>
          <w:rFonts w:asciiTheme="minorEastAsia" w:hAnsiTheme="minorEastAsia" w:cstheme="minorEastAsia"/>
          <w:sz w:val="32"/>
          <w:szCs w:val="32"/>
        </w:rPr>
      </w:pPr>
    </w:p>
    <w:p w14:paraId="731B362D">
      <w:pPr>
        <w:ind w:firstLine="640" w:firstLineChars="200"/>
        <w:jc w:val="center"/>
        <w:rPr>
          <w:rFonts w:asciiTheme="minorEastAsia" w:hAnsiTheme="minorEastAsia" w:cstheme="minorEastAsia"/>
          <w:sz w:val="32"/>
          <w:szCs w:val="32"/>
        </w:rPr>
      </w:pPr>
    </w:p>
    <w:p w14:paraId="70755461">
      <w:pPr>
        <w:ind w:firstLine="640" w:firstLineChars="200"/>
        <w:jc w:val="center"/>
        <w:rPr>
          <w:rFonts w:asciiTheme="minorEastAsia" w:hAnsiTheme="minorEastAsia" w:cstheme="minorEastAsia"/>
          <w:sz w:val="32"/>
          <w:szCs w:val="32"/>
        </w:rPr>
      </w:pPr>
    </w:p>
    <w:p w14:paraId="5CBFD448">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w:t>
      </w:r>
      <w:r>
        <w:rPr>
          <w:rFonts w:hint="eastAsia" w:ascii="黑体" w:hAnsi="黑体" w:eastAsia="黑体" w:cstheme="minorEastAsia"/>
          <w:sz w:val="32"/>
          <w:szCs w:val="32"/>
          <w:lang w:val="en-US" w:eastAsia="zh-CN"/>
        </w:rPr>
        <w:t>20</w:t>
      </w:r>
      <w:r>
        <w:rPr>
          <w:rFonts w:hint="eastAsia" w:ascii="黑体" w:hAnsi="黑体" w:eastAsia="黑体" w:cstheme="minorEastAsia"/>
          <w:sz w:val="32"/>
          <w:szCs w:val="32"/>
        </w:rPr>
        <w:t>年9月11日</w:t>
      </w:r>
    </w:p>
    <w:p w14:paraId="26883FA2">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14:paraId="6B1EFF5A">
      <w:pPr>
        <w:ind w:firstLine="640" w:firstLineChars="200"/>
        <w:jc w:val="center"/>
        <w:rPr>
          <w:rFonts w:asciiTheme="minorEastAsia" w:hAnsiTheme="minorEastAsia" w:cstheme="minorEastAsia"/>
          <w:sz w:val="32"/>
          <w:szCs w:val="32"/>
        </w:rPr>
      </w:pPr>
    </w:p>
    <w:p w14:paraId="4DE3BF71">
      <w:pPr>
        <w:spacing w:beforeLines="50"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14:paraId="64499376">
      <w:pPr>
        <w:rPr>
          <w:rFonts w:ascii="黑体" w:hAnsi="黑体" w:eastAsia="黑体" w:cstheme="minorEastAsia"/>
          <w:sz w:val="32"/>
          <w:szCs w:val="32"/>
        </w:rPr>
      </w:pPr>
      <w:r>
        <w:rPr>
          <w:rFonts w:hint="eastAsia" w:ascii="黑体" w:hAnsi="黑体" w:eastAsia="黑体" w:cstheme="minorEastAsia"/>
          <w:sz w:val="32"/>
          <w:szCs w:val="32"/>
        </w:rPr>
        <w:t>第一部分  本部门概况</w:t>
      </w:r>
    </w:p>
    <w:p w14:paraId="410C923B">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一、襄垣县文学艺术界联合会主要职责</w:t>
      </w:r>
    </w:p>
    <w:p w14:paraId="237A1AED">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二、襄垣县文学艺术界联合会基本情况</w:t>
      </w:r>
    </w:p>
    <w:p w14:paraId="18C41F93">
      <w:pPr>
        <w:rPr>
          <w:rFonts w:ascii="黑体" w:hAnsi="黑体" w:eastAsia="黑体" w:cstheme="minorEastAsia"/>
          <w:sz w:val="32"/>
          <w:szCs w:val="32"/>
        </w:rPr>
      </w:pPr>
      <w:r>
        <w:rPr>
          <w:rFonts w:hint="eastAsia" w:ascii="黑体" w:hAnsi="黑体" w:eastAsia="黑体" w:cstheme="minorEastAsia"/>
          <w:sz w:val="32"/>
          <w:szCs w:val="32"/>
        </w:rPr>
        <w:t>第二部分  本部门决算公开表</w:t>
      </w:r>
    </w:p>
    <w:p w14:paraId="4CD6207F">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14:paraId="1D0ED4D2">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14:paraId="5B1C3F40">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14:paraId="4A76CFFE">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14:paraId="19C8DDF5">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14:paraId="14259979">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14:paraId="7B117755">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14:paraId="01BFF994">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14:paraId="18301977">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14:paraId="71A7D516">
      <w:pPr>
        <w:ind w:firstLine="160" w:firstLineChars="50"/>
        <w:rPr>
          <w:rFonts w:ascii="黑体" w:hAnsi="黑体" w:eastAsia="黑体" w:cstheme="minorEastAsia"/>
          <w:sz w:val="32"/>
          <w:szCs w:val="32"/>
        </w:rPr>
      </w:pPr>
      <w:r>
        <w:rPr>
          <w:rFonts w:hint="eastAsia" w:ascii="黑体" w:hAnsi="黑体" w:eastAsia="黑体" w:cstheme="minorEastAsia"/>
          <w:sz w:val="32"/>
          <w:szCs w:val="32"/>
        </w:rPr>
        <w:t>第三部分  本部门决算情况说明</w:t>
      </w:r>
    </w:p>
    <w:p w14:paraId="15007D2D">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一、收入决算情况说明</w:t>
      </w:r>
    </w:p>
    <w:p w14:paraId="28571A04">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二、支出决算情况说明</w:t>
      </w:r>
    </w:p>
    <w:p w14:paraId="571F8013">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三、一般公共预算财政拨款支出决算表公开到功能分类项级科目</w:t>
      </w:r>
    </w:p>
    <w:p w14:paraId="223CF2D7">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四、一般公共预算财政拨款基本支出决算表公开到经济性质分类款级科目</w:t>
      </w:r>
    </w:p>
    <w:p w14:paraId="462FED5B">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五、一般公共预算财政拨款“三公”经费支出决算情况说明</w:t>
      </w:r>
    </w:p>
    <w:p w14:paraId="67ED4167">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六、政府采购支出情况说明</w:t>
      </w:r>
    </w:p>
    <w:p w14:paraId="169919FD">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七、机关运行经费执行情况说明</w:t>
      </w:r>
    </w:p>
    <w:p w14:paraId="5AD0CD74">
      <w:pPr>
        <w:pStyle w:val="4"/>
        <w:widowControl/>
        <w:spacing w:before="0" w:beforeAutospacing="0" w:after="0" w:afterAutospacing="0" w:line="30" w:lineRule="atLeast"/>
        <w:ind w:firstLine="640" w:firstLineChars="200"/>
        <w:rPr>
          <w:rFonts w:ascii="仿宋_GB2312" w:eastAsia="仿宋_GB2312" w:hAnsiTheme="minorEastAsia" w:cstheme="minorEastAsia"/>
          <w:kern w:val="2"/>
          <w:sz w:val="32"/>
          <w:szCs w:val="32"/>
        </w:rPr>
      </w:pPr>
      <w:r>
        <w:rPr>
          <w:rFonts w:hint="eastAsia" w:ascii="仿宋_GB2312" w:eastAsia="仿宋_GB2312" w:hAnsiTheme="minorEastAsia" w:cstheme="minorEastAsia"/>
          <w:sz w:val="32"/>
          <w:szCs w:val="32"/>
        </w:rPr>
        <w:t>八、</w:t>
      </w:r>
      <w:r>
        <w:rPr>
          <w:rFonts w:hint="eastAsia" w:ascii="仿宋_GB2312" w:eastAsia="仿宋_GB2312" w:hAnsiTheme="minorEastAsia" w:cstheme="minorEastAsia"/>
          <w:kern w:val="2"/>
          <w:sz w:val="32"/>
          <w:szCs w:val="32"/>
        </w:rPr>
        <w:t>国有资产占用情况说明</w:t>
      </w:r>
    </w:p>
    <w:p w14:paraId="70146D13">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九、重点绩效评价结果等预算绩效情况说明</w:t>
      </w:r>
    </w:p>
    <w:p w14:paraId="6A2F356A">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14:paraId="0BD7F636">
      <w:pPr>
        <w:rPr>
          <w:rFonts w:asciiTheme="minorEastAsia" w:hAnsiTheme="minorEastAsia" w:cstheme="minorEastAsia"/>
          <w:sz w:val="32"/>
          <w:szCs w:val="32"/>
        </w:rPr>
      </w:pPr>
    </w:p>
    <w:p w14:paraId="5CB1EDE4">
      <w:pPr>
        <w:rPr>
          <w:rFonts w:asciiTheme="minorEastAsia" w:hAnsiTheme="minorEastAsia" w:cstheme="minorEastAsia"/>
          <w:sz w:val="32"/>
          <w:szCs w:val="32"/>
        </w:rPr>
      </w:pPr>
    </w:p>
    <w:p w14:paraId="7B1BB176">
      <w:pPr>
        <w:rPr>
          <w:rFonts w:asciiTheme="minorEastAsia" w:hAnsiTheme="minorEastAsia" w:cstheme="minorEastAsia"/>
          <w:sz w:val="32"/>
          <w:szCs w:val="32"/>
        </w:rPr>
      </w:pPr>
    </w:p>
    <w:p w14:paraId="03A9EC20">
      <w:pPr>
        <w:rPr>
          <w:rFonts w:asciiTheme="minorEastAsia" w:hAnsiTheme="minorEastAsia" w:cstheme="minorEastAsia"/>
          <w:sz w:val="32"/>
          <w:szCs w:val="32"/>
        </w:rPr>
      </w:pPr>
    </w:p>
    <w:p w14:paraId="5575F801">
      <w:pPr>
        <w:rPr>
          <w:rFonts w:asciiTheme="minorEastAsia" w:hAnsiTheme="minorEastAsia" w:cstheme="minorEastAsia"/>
          <w:sz w:val="32"/>
          <w:szCs w:val="32"/>
        </w:rPr>
      </w:pPr>
    </w:p>
    <w:p w14:paraId="38E736B7">
      <w:pPr>
        <w:rPr>
          <w:rFonts w:asciiTheme="minorEastAsia" w:hAnsiTheme="minorEastAsia" w:cstheme="minorEastAsia"/>
          <w:sz w:val="32"/>
          <w:szCs w:val="32"/>
        </w:rPr>
      </w:pPr>
    </w:p>
    <w:p w14:paraId="567D0934">
      <w:pPr>
        <w:rPr>
          <w:rFonts w:asciiTheme="minorEastAsia" w:hAnsiTheme="minorEastAsia" w:cstheme="minorEastAsia"/>
          <w:sz w:val="32"/>
          <w:szCs w:val="32"/>
        </w:rPr>
      </w:pPr>
    </w:p>
    <w:p w14:paraId="1F5C6D72">
      <w:pPr>
        <w:rPr>
          <w:rFonts w:asciiTheme="minorEastAsia" w:hAnsiTheme="minorEastAsia" w:cstheme="minorEastAsia"/>
          <w:sz w:val="32"/>
          <w:szCs w:val="32"/>
        </w:rPr>
      </w:pPr>
    </w:p>
    <w:p w14:paraId="771A7E2F">
      <w:pPr>
        <w:rPr>
          <w:rFonts w:asciiTheme="minorEastAsia" w:hAnsiTheme="minorEastAsia" w:cstheme="minorEastAsia"/>
          <w:sz w:val="32"/>
          <w:szCs w:val="32"/>
        </w:rPr>
      </w:pPr>
    </w:p>
    <w:p w14:paraId="348FC811">
      <w:pPr>
        <w:rPr>
          <w:rFonts w:asciiTheme="minorEastAsia" w:hAnsiTheme="minorEastAsia" w:cstheme="minorEastAsia"/>
          <w:sz w:val="32"/>
          <w:szCs w:val="32"/>
        </w:rPr>
      </w:pPr>
    </w:p>
    <w:p w14:paraId="342C97E7">
      <w:pPr>
        <w:rPr>
          <w:rFonts w:asciiTheme="minorEastAsia" w:hAnsiTheme="minorEastAsia" w:cstheme="minorEastAsia"/>
          <w:sz w:val="32"/>
          <w:szCs w:val="32"/>
        </w:rPr>
      </w:pPr>
    </w:p>
    <w:p w14:paraId="65612788">
      <w:pPr>
        <w:rPr>
          <w:rFonts w:asciiTheme="minorEastAsia" w:hAnsiTheme="minorEastAsia" w:cstheme="minorEastAsia"/>
          <w:sz w:val="32"/>
          <w:szCs w:val="32"/>
        </w:rPr>
      </w:pPr>
    </w:p>
    <w:p w14:paraId="2E25FB36">
      <w:pPr>
        <w:rPr>
          <w:rFonts w:asciiTheme="minorEastAsia" w:hAnsiTheme="minorEastAsia" w:cstheme="minorEastAsia"/>
          <w:sz w:val="32"/>
          <w:szCs w:val="32"/>
        </w:rPr>
      </w:pPr>
    </w:p>
    <w:p w14:paraId="57313DFF">
      <w:pPr>
        <w:rPr>
          <w:rFonts w:asciiTheme="minorEastAsia" w:hAnsiTheme="minorEastAsia" w:cstheme="minorEastAsia"/>
          <w:sz w:val="32"/>
          <w:szCs w:val="32"/>
        </w:rPr>
      </w:pPr>
    </w:p>
    <w:p w14:paraId="7B95BFC9">
      <w:pPr>
        <w:rPr>
          <w:rFonts w:asciiTheme="minorEastAsia" w:hAnsiTheme="minorEastAsia" w:cstheme="minorEastAsia"/>
          <w:sz w:val="32"/>
          <w:szCs w:val="32"/>
        </w:rPr>
      </w:pPr>
      <w:r>
        <w:rPr>
          <w:rFonts w:hint="eastAsia" w:ascii="黑体" w:hAnsi="黑体" w:eastAsia="黑体" w:cstheme="minorEastAsia"/>
          <w:b/>
          <w:bCs/>
          <w:sz w:val="32"/>
          <w:szCs w:val="32"/>
        </w:rPr>
        <w:t xml:space="preserve">第一部分  </w:t>
      </w:r>
      <w:r>
        <w:rPr>
          <w:rFonts w:hint="eastAsia" w:ascii="黑体" w:hAnsi="黑体" w:eastAsia="黑体" w:cstheme="minorEastAsia"/>
          <w:sz w:val="32"/>
          <w:szCs w:val="32"/>
        </w:rPr>
        <w:t>本部门</w:t>
      </w:r>
      <w:r>
        <w:rPr>
          <w:rFonts w:hint="eastAsia" w:ascii="黑体" w:hAnsi="黑体" w:eastAsia="黑体" w:cstheme="minorEastAsia"/>
          <w:b/>
          <w:bCs/>
          <w:sz w:val="32"/>
          <w:szCs w:val="32"/>
        </w:rPr>
        <w:t>概况</w:t>
      </w:r>
    </w:p>
    <w:p w14:paraId="46D47B46">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一、主要职能</w:t>
      </w:r>
    </w:p>
    <w:p w14:paraId="7AC10615">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坚持“二为”方向和“双百”方针，致力于繁荣和发展襄垣县文学艺术事业。</w:t>
      </w:r>
    </w:p>
    <w:p w14:paraId="142F5C56">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对其所属的各团体会员进行联络、协调、服务、指导。</w:t>
      </w:r>
    </w:p>
    <w:p w14:paraId="3C02FF66">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组织和推动其所属的各团体会员积极开展各项文学艺术活动。</w:t>
      </w:r>
    </w:p>
    <w:p w14:paraId="62A67DCD">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根据需要和可能，采取切实有效的措施，鼓励和促进广大文艺工作者深入生活、扎根人民，加强艺术实践，交流创作经验，提高艺术修养和艺术水平。</w:t>
      </w:r>
    </w:p>
    <w:p w14:paraId="51864421">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发现和培养各类文学艺术人才，不断壮大文艺队伍。</w:t>
      </w:r>
    </w:p>
    <w:p w14:paraId="539731CB">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加强对外文学艺术交流。</w:t>
      </w:r>
    </w:p>
    <w:p w14:paraId="143A0B9C">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承办县委、县政府和上级文联交办的其他事宜。</w:t>
      </w:r>
    </w:p>
    <w:p w14:paraId="498EA61F">
      <w:pPr>
        <w:ind w:firstLine="540" w:firstLineChars="168"/>
        <w:rPr>
          <w:rFonts w:ascii="楷体" w:hAnsi="楷体" w:eastAsia="楷体" w:cstheme="minorEastAsia"/>
          <w:b/>
          <w:sz w:val="32"/>
          <w:szCs w:val="32"/>
        </w:rPr>
      </w:pPr>
      <w:r>
        <w:rPr>
          <w:rFonts w:hint="eastAsia" w:ascii="楷体" w:hAnsi="楷体" w:eastAsia="楷体" w:cstheme="minorEastAsia"/>
          <w:b/>
          <w:sz w:val="32"/>
          <w:szCs w:val="32"/>
        </w:rPr>
        <w:t>二、基本情况</w:t>
      </w:r>
    </w:p>
    <w:p w14:paraId="7DDF6ECB">
      <w:pPr>
        <w:widowControl/>
        <w:spacing w:line="324" w:lineRule="atLeast"/>
        <w:ind w:left="540"/>
        <w:jc w:val="left"/>
        <w:rPr>
          <w:rFonts w:ascii="仿宋_GB2312" w:hAnsi="楷体" w:eastAsia="仿宋_GB2312" w:cs="宋体"/>
          <w:bCs/>
          <w:kern w:val="0"/>
          <w:sz w:val="18"/>
          <w:szCs w:val="18"/>
        </w:rPr>
      </w:pPr>
      <w:r>
        <w:rPr>
          <w:rFonts w:hint="eastAsia" w:ascii="仿宋_GB2312" w:hAnsi="楷体" w:eastAsia="仿宋_GB2312" w:cs="宋体"/>
          <w:bCs/>
          <w:kern w:val="0"/>
          <w:sz w:val="32"/>
          <w:szCs w:val="32"/>
        </w:rPr>
        <w:t>（一）机构设置情况</w:t>
      </w:r>
    </w:p>
    <w:p w14:paraId="761CC4D3">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襄垣县文学艺术界联合会设3个内设机构，分别为：综合办公室、</w:t>
      </w:r>
      <w:r>
        <w:rPr>
          <w:rFonts w:hint="eastAsia" w:ascii="仿宋_GB2312" w:hAnsi="仿宋_GB2312" w:eastAsia="仿宋_GB2312" w:cs="仿宋_GB2312"/>
          <w:sz w:val="32"/>
          <w:szCs w:val="32"/>
        </w:rPr>
        <w:t>编辑部和组联部。现有参公、事业编制8名，其中，参公编制6名，事业编制1名。实有7人，其中参照公务员管理人员6名，事业人员1名。</w:t>
      </w:r>
    </w:p>
    <w:p w14:paraId="4AAE366A">
      <w:pPr>
        <w:widowControl/>
        <w:spacing w:line="324" w:lineRule="atLeast"/>
        <w:ind w:left="54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（二）人员情况说明</w:t>
      </w:r>
    </w:p>
    <w:p w14:paraId="2829F282">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现有参公、事业编制8名，其中，参公编制6名，事业编制1名。实有7人，参照公务员管理人员6名，事业人员1名。</w:t>
      </w:r>
    </w:p>
    <w:p w14:paraId="46EDD039">
      <w:pPr>
        <w:ind w:firstLine="640" w:firstLineChars="200"/>
        <w:rPr>
          <w:rFonts w:ascii="仿宋_GB2312" w:hAnsi="仿宋" w:eastAsia="仿宋_GB2312" w:cs="宋体"/>
          <w:kern w:val="0"/>
          <w:sz w:val="32"/>
          <w:szCs w:val="32"/>
        </w:rPr>
      </w:pPr>
      <w:r>
        <w:rPr>
          <w:rFonts w:hint="eastAsia" w:ascii="仿宋" w:hAnsi="仿宋" w:eastAsia="仿宋" w:cs="仿宋_GB2312"/>
          <w:sz w:val="32"/>
          <w:szCs w:val="32"/>
        </w:rPr>
        <w:t>（三）</w:t>
      </w:r>
      <w:r>
        <w:rPr>
          <w:rFonts w:hint="eastAsia" w:ascii="仿宋_GB2312" w:hAnsi="仿宋" w:eastAsia="仿宋_GB2312" w:cstheme="minorEastAsia"/>
          <w:sz w:val="32"/>
          <w:szCs w:val="32"/>
        </w:rPr>
        <w:t>本套襄垣县文学艺术界联合会决算汇编范围的单位共1个，包括：</w:t>
      </w:r>
      <w:r>
        <w:rPr>
          <w:rFonts w:hint="eastAsia" w:ascii="仿宋_GB2312" w:eastAsia="仿宋_GB2312"/>
          <w:sz w:val="32"/>
          <w:szCs w:val="32"/>
        </w:rPr>
        <w:t>襄垣县文学艺术界联合会。</w:t>
      </w:r>
    </w:p>
    <w:p w14:paraId="7D562910">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本部门决算公开表</w:t>
      </w:r>
    </w:p>
    <w:p w14:paraId="3A4ED9B5">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襄垣县文学艺术界联合会决算公开相关信息统计表）。</w:t>
      </w:r>
    </w:p>
    <w:p w14:paraId="161D62EA">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第三部分  本部门决算情况说明</w:t>
      </w:r>
    </w:p>
    <w:p w14:paraId="580A0AD8">
      <w:pPr>
        <w:ind w:firstLine="640" w:firstLineChars="200"/>
        <w:rPr>
          <w:rFonts w:ascii="楷体" w:hAnsi="楷体" w:eastAsia="楷体" w:cstheme="minorEastAsia"/>
          <w:b/>
          <w:sz w:val="32"/>
          <w:szCs w:val="32"/>
        </w:rPr>
      </w:pPr>
      <w:r>
        <w:rPr>
          <w:rFonts w:hint="eastAsia" w:ascii="楷体" w:hAnsi="楷体" w:eastAsia="楷体" w:cstheme="minorEastAsia"/>
          <w:bCs/>
          <w:sz w:val="32"/>
          <w:szCs w:val="32"/>
        </w:rPr>
        <w:t>一、收入决算情况说明</w:t>
      </w:r>
    </w:p>
    <w:p w14:paraId="2203AF68">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本部门2019年度收入总计73.13万元，其中年初结转和结余1.24万元，较2018年减少5.54万元，下降7.04%；本年收入合计71.89万元，较2018年减少6.78万元，下降8.62%，主要原因是：群团活动经费减少。</w:t>
      </w:r>
    </w:p>
    <w:p w14:paraId="58598836">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本年收入的具体构成为：财政拨款收入71.89万元，占100%；其他收入0万元。  </w:t>
      </w:r>
    </w:p>
    <w:p w14:paraId="446809EE">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二、支出决算情况说明</w:t>
      </w:r>
    </w:p>
    <w:p w14:paraId="35579B6F">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w:t>
      </w:r>
      <w:r>
        <w:rPr>
          <w:rFonts w:hint="eastAsia" w:ascii="仿宋_GB2312" w:hAnsi="仿宋" w:eastAsia="仿宋_GB2312" w:cs="仿宋"/>
          <w:sz w:val="32"/>
          <w:szCs w:val="32"/>
        </w:rPr>
        <w:t>部门</w:t>
      </w:r>
      <w:r>
        <w:rPr>
          <w:rFonts w:hint="eastAsia" w:ascii="仿宋_GB2312" w:eastAsia="仿宋_GB2312" w:hAnsiTheme="minorEastAsia" w:cstheme="minorEastAsia"/>
          <w:sz w:val="32"/>
          <w:szCs w:val="32"/>
        </w:rPr>
        <w:t>2019年度支出总计</w:t>
      </w:r>
      <w:r>
        <w:rPr>
          <w:rFonts w:hint="eastAsia" w:ascii="仿宋_GB2312" w:hAnsi="仿宋" w:eastAsia="仿宋_GB2312" w:cs="仿宋"/>
          <w:sz w:val="32"/>
          <w:szCs w:val="32"/>
        </w:rPr>
        <w:t>71.89</w:t>
      </w:r>
      <w:r>
        <w:rPr>
          <w:rFonts w:hint="eastAsia" w:ascii="仿宋_GB2312" w:eastAsia="仿宋_GB2312" w:hAnsiTheme="minorEastAsia" w:cstheme="minorEastAsia"/>
          <w:sz w:val="32"/>
          <w:szCs w:val="32"/>
        </w:rPr>
        <w:t>万元，其中本年支出合计</w:t>
      </w:r>
      <w:r>
        <w:rPr>
          <w:rFonts w:hint="eastAsia" w:ascii="仿宋_GB2312" w:hAnsi="仿宋" w:eastAsia="仿宋_GB2312" w:cs="仿宋"/>
          <w:sz w:val="32"/>
          <w:szCs w:val="32"/>
        </w:rPr>
        <w:t>71.89</w:t>
      </w:r>
      <w:r>
        <w:rPr>
          <w:rFonts w:hint="eastAsia" w:ascii="仿宋_GB2312" w:eastAsia="仿宋_GB2312" w:hAnsiTheme="minorEastAsia" w:cstheme="minorEastAsia"/>
          <w:sz w:val="32"/>
          <w:szCs w:val="32"/>
        </w:rPr>
        <w:t>万元，较2018年减少6.78万元，下降</w:t>
      </w:r>
      <w:r>
        <w:rPr>
          <w:rFonts w:hint="eastAsia" w:ascii="仿宋_GB2312" w:hAnsi="仿宋" w:eastAsia="仿宋_GB2312" w:cs="仿宋"/>
          <w:sz w:val="32"/>
          <w:szCs w:val="32"/>
        </w:rPr>
        <w:t>8.62</w:t>
      </w:r>
      <w:r>
        <w:rPr>
          <w:rFonts w:hint="eastAsia" w:ascii="仿宋_GB2312" w:eastAsia="仿宋_GB2312" w:hAnsiTheme="minorEastAsia" w:cstheme="minorEastAsia"/>
          <w:sz w:val="32"/>
          <w:szCs w:val="32"/>
        </w:rPr>
        <w:t>%，主要原因是：群团活动经费减少，较2017年减少</w:t>
      </w:r>
      <w:r>
        <w:rPr>
          <w:rFonts w:hint="eastAsia" w:ascii="仿宋_GB2312" w:hAnsi="仿宋" w:eastAsia="仿宋_GB2312" w:cs="仿宋"/>
          <w:sz w:val="32"/>
          <w:szCs w:val="32"/>
        </w:rPr>
        <w:t>5.05</w:t>
      </w:r>
      <w:r>
        <w:rPr>
          <w:rFonts w:hint="eastAsia" w:ascii="仿宋_GB2312" w:eastAsia="仿宋_GB2312" w:hAnsiTheme="minorEastAsia" w:cstheme="minorEastAsia"/>
          <w:sz w:val="32"/>
          <w:szCs w:val="32"/>
        </w:rPr>
        <w:t>万元，下降</w:t>
      </w:r>
      <w:r>
        <w:rPr>
          <w:rFonts w:hint="eastAsia" w:ascii="仿宋_GB2312" w:hAnsi="仿宋" w:eastAsia="仿宋_GB2312" w:cs="仿宋"/>
          <w:sz w:val="32"/>
          <w:szCs w:val="32"/>
        </w:rPr>
        <w:t>6.56</w:t>
      </w:r>
      <w:r>
        <w:rPr>
          <w:rFonts w:hint="eastAsia" w:ascii="仿宋_GB2312" w:eastAsia="仿宋_GB2312" w:hAnsiTheme="minorEastAsia" w:cstheme="minorEastAsia"/>
          <w:sz w:val="32"/>
          <w:szCs w:val="32"/>
        </w:rPr>
        <w:t>%，主要原因是：群团活动经费减少。</w:t>
      </w:r>
    </w:p>
    <w:p w14:paraId="63AA688A">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本年支出的具体构成为：基本支出60.81万元，占84.59 %；项目支出11.09万元，占15.42 %；经营支出0万元，占0%；其他支出（对附属单位补助支出、上缴上级支出）0万元，占0%。</w:t>
      </w:r>
    </w:p>
    <w:p w14:paraId="60C3F5A9">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三、一般公共预算财政拨款支出决算表公开到功能分类项级科目（05表）</w:t>
      </w:r>
    </w:p>
    <w:p w14:paraId="37151B4D">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w:t>
      </w:r>
      <w:r>
        <w:rPr>
          <w:rFonts w:hint="eastAsia" w:ascii="仿宋_GB2312" w:hAnsi="仿宋" w:eastAsia="仿宋_GB2312" w:cs="仿宋"/>
          <w:sz w:val="32"/>
          <w:szCs w:val="32"/>
        </w:rPr>
        <w:t>部门</w:t>
      </w:r>
      <w:r>
        <w:rPr>
          <w:rFonts w:hint="eastAsia" w:ascii="仿宋_GB2312" w:eastAsia="仿宋_GB2312" w:hAnsiTheme="minorEastAsia" w:cstheme="minorEastAsia"/>
          <w:sz w:val="32"/>
          <w:szCs w:val="32"/>
        </w:rPr>
        <w:t>2019年度财政拨款本年支出年初预算数为</w:t>
      </w:r>
      <w:r>
        <w:rPr>
          <w:rFonts w:hint="eastAsia" w:ascii="仿宋_GB2312" w:hAnsi="仿宋" w:eastAsia="仿宋_GB2312" w:cs="仿宋"/>
          <w:sz w:val="32"/>
          <w:szCs w:val="32"/>
        </w:rPr>
        <w:t>71.89</w:t>
      </w:r>
      <w:r>
        <w:rPr>
          <w:rFonts w:hint="eastAsia" w:ascii="仿宋_GB2312" w:eastAsia="仿宋_GB2312" w:hAnsiTheme="minorEastAsia" w:cstheme="minorEastAsia"/>
          <w:sz w:val="32"/>
          <w:szCs w:val="32"/>
        </w:rPr>
        <w:t>万元，决算数为</w:t>
      </w:r>
      <w:r>
        <w:rPr>
          <w:rFonts w:hint="eastAsia" w:ascii="仿宋_GB2312" w:hAnsi="仿宋" w:eastAsia="仿宋_GB2312" w:cs="仿宋"/>
          <w:sz w:val="32"/>
          <w:szCs w:val="32"/>
        </w:rPr>
        <w:t>71.89</w:t>
      </w:r>
      <w:r>
        <w:rPr>
          <w:rFonts w:hint="eastAsia" w:ascii="仿宋_GB2312" w:eastAsia="仿宋_GB2312" w:hAnsiTheme="minorEastAsia" w:cstheme="minorEastAsia"/>
          <w:sz w:val="32"/>
          <w:szCs w:val="32"/>
        </w:rPr>
        <w:t>万元，完成年初预算的100 %。其中：一般公共服务支出年初预算数为</w:t>
      </w:r>
      <w:r>
        <w:rPr>
          <w:rFonts w:hint="eastAsia" w:ascii="仿宋_GB2312" w:hAnsi="仿宋" w:eastAsia="仿宋_GB2312" w:cs="仿宋"/>
          <w:sz w:val="32"/>
          <w:szCs w:val="32"/>
        </w:rPr>
        <w:t>71.89</w:t>
      </w:r>
      <w:r>
        <w:rPr>
          <w:rFonts w:hint="eastAsia" w:ascii="仿宋_GB2312" w:eastAsia="仿宋_GB2312" w:hAnsiTheme="minorEastAsia" w:cstheme="minorEastAsia"/>
          <w:sz w:val="32"/>
          <w:szCs w:val="32"/>
        </w:rPr>
        <w:t>万元，决算数为</w:t>
      </w:r>
      <w:r>
        <w:rPr>
          <w:rFonts w:hint="eastAsia" w:ascii="仿宋_GB2312" w:hAnsi="仿宋" w:eastAsia="仿宋_GB2312" w:cs="仿宋"/>
          <w:sz w:val="32"/>
          <w:szCs w:val="32"/>
        </w:rPr>
        <w:t>71.89</w:t>
      </w:r>
      <w:r>
        <w:rPr>
          <w:rFonts w:hint="eastAsia" w:ascii="仿宋_GB2312" w:eastAsia="仿宋_GB2312" w:hAnsiTheme="minorEastAsia" w:cstheme="minorEastAsia"/>
          <w:sz w:val="32"/>
          <w:szCs w:val="32"/>
        </w:rPr>
        <w:t>万元，完成年初预算的 100%。</w:t>
      </w:r>
    </w:p>
    <w:p w14:paraId="2B636480">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四、一般公共预算财政拨款基本支出决算表公开到经济性质分类款级科目（06表）</w:t>
      </w:r>
    </w:p>
    <w:p w14:paraId="6AB3E1EA">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w:t>
      </w:r>
      <w:r>
        <w:rPr>
          <w:rFonts w:hint="eastAsia" w:ascii="仿宋_GB2312" w:hAnsi="仿宋" w:eastAsia="仿宋_GB2312" w:cs="仿宋"/>
          <w:sz w:val="32"/>
          <w:szCs w:val="32"/>
        </w:rPr>
        <w:t>部门</w:t>
      </w:r>
      <w:r>
        <w:rPr>
          <w:rFonts w:hint="eastAsia" w:ascii="仿宋_GB2312" w:eastAsia="仿宋_GB2312" w:hAnsiTheme="minorEastAsia" w:cstheme="minorEastAsia"/>
          <w:sz w:val="32"/>
          <w:szCs w:val="32"/>
        </w:rPr>
        <w:t>2019年度一般公共预算财政拨款基本支出</w:t>
      </w:r>
      <w:r>
        <w:rPr>
          <w:rFonts w:hint="eastAsia" w:ascii="仿宋_GB2312" w:hAnsi="仿宋" w:eastAsia="仿宋_GB2312" w:cs="仿宋"/>
          <w:sz w:val="32"/>
          <w:szCs w:val="32"/>
        </w:rPr>
        <w:t>71.89</w:t>
      </w:r>
      <w:r>
        <w:rPr>
          <w:rFonts w:hint="eastAsia" w:ascii="仿宋_GB2312" w:eastAsia="仿宋_GB2312" w:hAnsiTheme="minorEastAsia" w:cstheme="minorEastAsia"/>
          <w:sz w:val="32"/>
          <w:szCs w:val="32"/>
        </w:rPr>
        <w:t>万元，其中：</w:t>
      </w:r>
    </w:p>
    <w:p w14:paraId="33AA8A37">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（一）工资福利支出52.38万元，较2018年减少3.34万元，下降6%，主要原因是：人员减少。</w:t>
      </w:r>
    </w:p>
    <w:p w14:paraId="1BA71A30">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（二）商品和服务支出19.46万元，较2018年减少3.43万元，下降15%，主要原因是：印刷费减少。</w:t>
      </w:r>
    </w:p>
    <w:p w14:paraId="457C7025">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（三）对个人和家庭补助支出0.06万元，较2018年0万元，下降0%。</w:t>
      </w:r>
    </w:p>
    <w:p w14:paraId="63DCA264">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（四）资本性支出0万元，较2018年增加0万元。</w:t>
      </w:r>
    </w:p>
    <w:p w14:paraId="419B30A4">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五、一般公共预算财政拨款“三公”经费支出决算情况说明</w:t>
      </w:r>
    </w:p>
    <w:p w14:paraId="6A79ADE7">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w:t>
      </w:r>
      <w:r>
        <w:rPr>
          <w:rFonts w:hint="eastAsia" w:ascii="仿宋_GB2312" w:hAnsi="仿宋" w:eastAsia="仿宋_GB2312" w:cs="仿宋"/>
          <w:sz w:val="32"/>
          <w:szCs w:val="32"/>
        </w:rPr>
        <w:t>部门</w:t>
      </w:r>
      <w:r>
        <w:rPr>
          <w:rFonts w:hint="eastAsia" w:ascii="仿宋_GB2312" w:eastAsia="仿宋_GB2312" w:hAnsiTheme="minorEastAsia" w:cstheme="minorEastAsia"/>
          <w:sz w:val="32"/>
          <w:szCs w:val="32"/>
        </w:rPr>
        <w:t>2019年度一般公共预算财政拨款“三公”经费支出年初预算数为0万元，决算数为0万元，完成预算的0%，决算数较2018年减少0万元，下降0%，其中：</w:t>
      </w:r>
    </w:p>
    <w:p w14:paraId="49C2E5BF">
      <w:pPr>
        <w:numPr>
          <w:ilvl w:val="0"/>
          <w:numId w:val="2"/>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因公出国（境）支出年初预算数为0万元，决算数为0万元，完成预算的0%，因公出国（境）团组数为0，人数为0。决算数较2018年增加（减少）0万元，增长（下降）0%。</w:t>
      </w:r>
    </w:p>
    <w:p w14:paraId="3634569B">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（二）公务接待费支出年初预算数为0万元，决算数为0万元，完成预算的0%，决算数较2018年减少0万元，下降0%。</w:t>
      </w:r>
    </w:p>
    <w:p w14:paraId="10A9A169">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公务用车购置及运行维护费支出0万元，其中公务用车购置年初预算数为0万元，决算数为0万元，完成预算的0%，决算数较2018年增加（减少）0万元，增长（下降）0%；公务用车运行维护费支出年初预算数为0万元，决算数为0万元，完成预算的0%，决算数较2018年增加（减少）0万元，增长（下降）0%。本年度公务用车购置数0，公务用车保有量0。</w:t>
      </w:r>
    </w:p>
    <w:p w14:paraId="26972582">
      <w:pPr>
        <w:ind w:firstLine="640" w:firstLineChars="200"/>
        <w:rPr>
          <w:rFonts w:ascii="楷体" w:hAnsi="楷体" w:eastAsia="楷体" w:cstheme="minorEastAsia"/>
          <w:b/>
          <w:sz w:val="32"/>
          <w:szCs w:val="32"/>
        </w:rPr>
      </w:pPr>
      <w:r>
        <w:rPr>
          <w:rFonts w:hint="eastAsia" w:ascii="楷体" w:hAnsi="楷体" w:eastAsia="楷体" w:cstheme="minorEastAsia"/>
          <w:bCs/>
          <w:sz w:val="32"/>
          <w:szCs w:val="32"/>
        </w:rPr>
        <w:t>六、政府采购支出情况说明</w:t>
      </w:r>
    </w:p>
    <w:p w14:paraId="6052E297">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本襄垣县文学艺术界联合会2019年度政府采购支出总额0万元，其中：政府采购货物支出0万元、政府采购工程支出0万元、政府采购服务支出0万元。授予中小企业合同金额0万元，占政府采购支出总额的0%。</w:t>
      </w:r>
    </w:p>
    <w:p w14:paraId="56E6510B">
      <w:pPr>
        <w:ind w:firstLine="640" w:firstLineChars="200"/>
        <w:rPr>
          <w:rFonts w:ascii="楷体" w:hAnsi="楷体" w:eastAsia="楷体" w:cstheme="minorEastAsia"/>
          <w:b/>
          <w:sz w:val="32"/>
          <w:szCs w:val="32"/>
        </w:rPr>
      </w:pPr>
      <w:r>
        <w:rPr>
          <w:rFonts w:hint="eastAsia" w:ascii="楷体" w:hAnsi="楷体" w:eastAsia="楷体" w:cstheme="minorEastAsia"/>
          <w:bCs/>
          <w:sz w:val="32"/>
          <w:szCs w:val="32"/>
        </w:rPr>
        <w:t>七、机关运行经费执行情况说明</w:t>
      </w:r>
    </w:p>
    <w:p w14:paraId="6908F09C">
      <w:pPr>
        <w:ind w:firstLine="640" w:firstLineChars="200"/>
        <w:rPr>
          <w:rFonts w:ascii="仿宋_GB2312" w:hAnsi="仿宋" w:eastAsia="仿宋_GB2312" w:cstheme="minorEastAsia"/>
          <w:sz w:val="32"/>
          <w:szCs w:val="32"/>
        </w:rPr>
      </w:pPr>
      <w:r>
        <w:rPr>
          <w:rFonts w:hint="eastAsia" w:ascii="仿宋_GB2312" w:hAnsi="仿宋" w:eastAsia="仿宋_GB2312" w:cstheme="minorEastAsia"/>
          <w:sz w:val="32"/>
          <w:szCs w:val="32"/>
        </w:rPr>
        <w:t>本</w:t>
      </w:r>
      <w:r>
        <w:rPr>
          <w:rFonts w:hint="eastAsia" w:ascii="仿宋_GB2312" w:hAnsi="仿宋" w:eastAsia="仿宋_GB2312" w:cs="仿宋"/>
          <w:sz w:val="32"/>
          <w:szCs w:val="32"/>
        </w:rPr>
        <w:t>部门</w:t>
      </w:r>
      <w:r>
        <w:rPr>
          <w:rFonts w:hint="eastAsia" w:ascii="仿宋_GB2312" w:hAnsi="仿宋" w:eastAsia="仿宋_GB2312" w:cstheme="minorEastAsia"/>
          <w:sz w:val="32"/>
          <w:szCs w:val="32"/>
        </w:rPr>
        <w:t>2019年度机关运行经费支出8.4万元，较2018年增加1.2万元，增加16.67%，主要原因是：劳务费、水费和</w:t>
      </w:r>
      <w:r>
        <w:rPr>
          <w:rFonts w:hint="eastAsia" w:ascii="仿宋_GB2312" w:hAnsi="仿宋" w:eastAsia="仿宋_GB2312" w:cstheme="minorEastAsia"/>
          <w:sz w:val="32"/>
          <w:szCs w:val="32"/>
          <w:lang w:eastAsia="zh-CN"/>
        </w:rPr>
        <w:t>工会经费</w:t>
      </w:r>
      <w:bookmarkStart w:id="0" w:name="_GoBack"/>
      <w:bookmarkEnd w:id="0"/>
      <w:r>
        <w:rPr>
          <w:rFonts w:hint="eastAsia" w:ascii="仿宋_GB2312" w:hAnsi="仿宋" w:eastAsia="仿宋_GB2312" w:cstheme="minorEastAsia"/>
          <w:sz w:val="32"/>
          <w:szCs w:val="32"/>
        </w:rPr>
        <w:t xml:space="preserve">增加。 </w:t>
      </w:r>
    </w:p>
    <w:p w14:paraId="24636E2E">
      <w:pPr>
        <w:ind w:firstLine="640" w:firstLineChars="200"/>
        <w:rPr>
          <w:rFonts w:ascii="楷体" w:hAnsi="楷体" w:eastAsia="楷体" w:cstheme="minorEastAsia"/>
          <w:b/>
          <w:sz w:val="32"/>
          <w:szCs w:val="32"/>
        </w:rPr>
      </w:pPr>
      <w:r>
        <w:rPr>
          <w:rStyle w:val="7"/>
          <w:rFonts w:hint="eastAsia" w:ascii="楷体" w:hAnsi="楷体" w:eastAsia="楷体" w:cs="宋体"/>
          <w:b w:val="0"/>
          <w:bCs/>
          <w:sz w:val="32"/>
          <w:szCs w:val="32"/>
        </w:rPr>
        <w:t>八、国有资产占用情况说明</w:t>
      </w:r>
    </w:p>
    <w:p w14:paraId="3CFBB290">
      <w:pPr>
        <w:pStyle w:val="4"/>
        <w:widowControl/>
        <w:spacing w:before="0" w:beforeAutospacing="0" w:after="0" w:afterAutospacing="0" w:line="30" w:lineRule="atLeast"/>
        <w:ind w:firstLine="640"/>
        <w:rPr>
          <w:rStyle w:val="7"/>
          <w:rFonts w:ascii="仿宋_GB2312" w:hAnsi="楷体" w:eastAsia="仿宋_GB2312" w:cs="宋体"/>
          <w:b w:val="0"/>
          <w:sz w:val="32"/>
          <w:szCs w:val="32"/>
        </w:rPr>
      </w:pPr>
      <w:r>
        <w:rPr>
          <w:rStyle w:val="7"/>
          <w:rFonts w:hint="eastAsia" w:ascii="仿宋_GB2312" w:hAnsi="楷体" w:eastAsia="仿宋_GB2312" w:cs="宋体"/>
          <w:b w:val="0"/>
          <w:sz w:val="32"/>
          <w:szCs w:val="32"/>
        </w:rPr>
        <w:t>本襄垣县文学艺术界联合会共有车辆数合计0辆。；单价50万元以上通用设备0台/套，共计0元；单价100万元以上专用设备0台/套，0元。</w:t>
      </w:r>
    </w:p>
    <w:p w14:paraId="69895ACD">
      <w:pPr>
        <w:ind w:firstLine="640" w:firstLineChars="200"/>
        <w:rPr>
          <w:rStyle w:val="7"/>
          <w:rFonts w:ascii="楷体" w:hAnsi="楷体" w:eastAsia="楷体" w:cs="宋体"/>
          <w:b w:val="0"/>
          <w:bCs/>
          <w:kern w:val="0"/>
          <w:sz w:val="32"/>
          <w:szCs w:val="32"/>
        </w:rPr>
      </w:pPr>
      <w:r>
        <w:rPr>
          <w:rStyle w:val="7"/>
          <w:rFonts w:hint="eastAsia" w:ascii="楷体" w:hAnsi="楷体" w:eastAsia="楷体" w:cs="宋体"/>
          <w:b w:val="0"/>
          <w:bCs/>
          <w:kern w:val="0"/>
          <w:sz w:val="32"/>
          <w:szCs w:val="32"/>
        </w:rPr>
        <w:t>九、重点绩效评价结果等预算绩效情况说明</w:t>
      </w:r>
    </w:p>
    <w:p w14:paraId="11B03FC7">
      <w:pPr>
        <w:pStyle w:val="4"/>
        <w:widowControl/>
        <w:spacing w:before="0" w:beforeAutospacing="0" w:after="0" w:afterAutospacing="0" w:line="30" w:lineRule="atLeast"/>
        <w:ind w:firstLine="640"/>
        <w:rPr>
          <w:rStyle w:val="7"/>
          <w:rFonts w:ascii="仿宋_GB2312" w:hAnsi="楷体" w:eastAsia="仿宋_GB2312" w:cs="宋体"/>
          <w:b w:val="0"/>
          <w:sz w:val="32"/>
          <w:szCs w:val="32"/>
        </w:rPr>
      </w:pPr>
      <w:r>
        <w:rPr>
          <w:rStyle w:val="7"/>
          <w:rFonts w:hint="eastAsia" w:ascii="仿宋_GB2312" w:hAnsi="楷体" w:eastAsia="仿宋_GB2312" w:cs="宋体"/>
          <w:b w:val="0"/>
          <w:sz w:val="32"/>
          <w:szCs w:val="32"/>
        </w:rPr>
        <w:t>本襄垣县文学艺术界联合会本年度不涉及预算绩效项目。</w:t>
      </w:r>
    </w:p>
    <w:p w14:paraId="26B9B59E">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14:paraId="2B501ABF">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一、财政拨款收入：指单位本年度从本级财政襄垣县文学艺术界联合会取得的财政拨款，包括一般公共预算财政拨款和政府性基金预算财政拨款。</w:t>
      </w:r>
    </w:p>
    <w:p w14:paraId="3C1A0110">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二、上级补助收入：指事业单位从主管襄垣县文学艺术界联合会和上级单位取得的非财政补助收入。</w:t>
      </w:r>
    </w:p>
    <w:p w14:paraId="67197F8E">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14:paraId="712B7056">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14:paraId="2AEEE975">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14:paraId="23FB3BF0">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14:paraId="32D90C18">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14:paraId="1CAEA8DC">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14:paraId="372EA431">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14:paraId="233C8A9C">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14:paraId="56915727">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14:paraId="2E597E23">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14:paraId="6BB7F377">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十三、上缴上级支出：指事业单位按照财政襄垣县文学艺术界联合会和主管襄垣县文学艺术界联合会的规定上缴上级单位的支出。</w:t>
      </w:r>
    </w:p>
    <w:p w14:paraId="29A0B1EA">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14:paraId="0E9D732A">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14:paraId="397DFB91">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襄垣县文学艺术界联合会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14:paraId="1AC3AD81">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14:paraId="0B986D4D">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3809BD63">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0B8B2E92">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0CEAC3A7">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3E1417DA">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04EBFB30">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484B9A61">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4C282E8C">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791D2982">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14:paraId="2A246C67">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14547"/>
    <w:multiLevelType w:val="singleLevel"/>
    <w:tmpl w:val="EAF14547"/>
    <w:lvl w:ilvl="0" w:tentative="0">
      <w:start w:val="1"/>
      <w:numFmt w:val="decimal"/>
      <w:suff w:val="nothing"/>
      <w:lvlText w:val="%1、"/>
      <w:lvlJc w:val="left"/>
      <w:pPr>
        <w:ind w:left="0" w:firstLine="0"/>
      </w:pPr>
    </w:lvl>
  </w:abstractNum>
  <w:abstractNum w:abstractNumId="1">
    <w:nsid w:val="FF867C84"/>
    <w:multiLevelType w:val="singleLevel"/>
    <w:tmpl w:val="FF867C84"/>
    <w:lvl w:ilvl="0" w:tentative="0">
      <w:start w:val="1"/>
      <w:numFmt w:val="chineseCounting"/>
      <w:suff w:val="nothing"/>
      <w:lvlText w:val="（%1）"/>
      <w:lvlJc w:val="left"/>
      <w:rPr>
        <w:rFonts w:hint="eastAsia"/>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48E87EB6"/>
    <w:rsid w:val="00000071"/>
    <w:rsid w:val="0001019D"/>
    <w:rsid w:val="00072BB8"/>
    <w:rsid w:val="000A1590"/>
    <w:rsid w:val="000D25E2"/>
    <w:rsid w:val="000E1BD0"/>
    <w:rsid w:val="0011026C"/>
    <w:rsid w:val="00121209"/>
    <w:rsid w:val="001330DE"/>
    <w:rsid w:val="001409C6"/>
    <w:rsid w:val="0019009F"/>
    <w:rsid w:val="001A4CB2"/>
    <w:rsid w:val="001C0185"/>
    <w:rsid w:val="0020506B"/>
    <w:rsid w:val="00216902"/>
    <w:rsid w:val="002A78F3"/>
    <w:rsid w:val="002B74C9"/>
    <w:rsid w:val="002C7CED"/>
    <w:rsid w:val="002D16FA"/>
    <w:rsid w:val="002D4FFA"/>
    <w:rsid w:val="003343CB"/>
    <w:rsid w:val="00356142"/>
    <w:rsid w:val="003A3256"/>
    <w:rsid w:val="003F190E"/>
    <w:rsid w:val="004407F8"/>
    <w:rsid w:val="00481790"/>
    <w:rsid w:val="00534B19"/>
    <w:rsid w:val="00583EB9"/>
    <w:rsid w:val="005F2480"/>
    <w:rsid w:val="006167CB"/>
    <w:rsid w:val="00643BE9"/>
    <w:rsid w:val="0064409A"/>
    <w:rsid w:val="0066428F"/>
    <w:rsid w:val="00696E76"/>
    <w:rsid w:val="006D58DE"/>
    <w:rsid w:val="006F0E3F"/>
    <w:rsid w:val="00730517"/>
    <w:rsid w:val="00751A1A"/>
    <w:rsid w:val="00760ADC"/>
    <w:rsid w:val="007634B0"/>
    <w:rsid w:val="007B6376"/>
    <w:rsid w:val="007F05BD"/>
    <w:rsid w:val="007F1CAD"/>
    <w:rsid w:val="007F2F8E"/>
    <w:rsid w:val="00803B41"/>
    <w:rsid w:val="00811544"/>
    <w:rsid w:val="00835152"/>
    <w:rsid w:val="0085109F"/>
    <w:rsid w:val="008524E1"/>
    <w:rsid w:val="008934C9"/>
    <w:rsid w:val="008C542A"/>
    <w:rsid w:val="008D5CA9"/>
    <w:rsid w:val="008E0E86"/>
    <w:rsid w:val="009436C0"/>
    <w:rsid w:val="00984700"/>
    <w:rsid w:val="009A41A6"/>
    <w:rsid w:val="009B6471"/>
    <w:rsid w:val="00A21F1A"/>
    <w:rsid w:val="00A548E4"/>
    <w:rsid w:val="00A61D97"/>
    <w:rsid w:val="00A655EA"/>
    <w:rsid w:val="00AC2813"/>
    <w:rsid w:val="00AD02AB"/>
    <w:rsid w:val="00B75CBC"/>
    <w:rsid w:val="00B84099"/>
    <w:rsid w:val="00B9234A"/>
    <w:rsid w:val="00BD7E57"/>
    <w:rsid w:val="00C91007"/>
    <w:rsid w:val="00CC2D68"/>
    <w:rsid w:val="00CC30DB"/>
    <w:rsid w:val="00CF14FA"/>
    <w:rsid w:val="00D008FE"/>
    <w:rsid w:val="00D23E2A"/>
    <w:rsid w:val="00D25442"/>
    <w:rsid w:val="00DE28FD"/>
    <w:rsid w:val="00E027DA"/>
    <w:rsid w:val="00E2165D"/>
    <w:rsid w:val="00E74F60"/>
    <w:rsid w:val="00F36448"/>
    <w:rsid w:val="00F427F0"/>
    <w:rsid w:val="00F61340"/>
    <w:rsid w:val="00F7489D"/>
    <w:rsid w:val="00FE22D0"/>
    <w:rsid w:val="00FF7D09"/>
    <w:rsid w:val="014A06B6"/>
    <w:rsid w:val="01DA336E"/>
    <w:rsid w:val="05E42E29"/>
    <w:rsid w:val="0C5A5250"/>
    <w:rsid w:val="0C64513E"/>
    <w:rsid w:val="0DE649EC"/>
    <w:rsid w:val="0EE25EB1"/>
    <w:rsid w:val="10CB3E8D"/>
    <w:rsid w:val="1AC6632E"/>
    <w:rsid w:val="1B4A6025"/>
    <w:rsid w:val="1E107510"/>
    <w:rsid w:val="209E0EC3"/>
    <w:rsid w:val="22140CC1"/>
    <w:rsid w:val="2618531C"/>
    <w:rsid w:val="2A937DAC"/>
    <w:rsid w:val="2DB60033"/>
    <w:rsid w:val="2EAC0C4C"/>
    <w:rsid w:val="2F754CA8"/>
    <w:rsid w:val="341824CB"/>
    <w:rsid w:val="343F3937"/>
    <w:rsid w:val="34D53928"/>
    <w:rsid w:val="37015ED3"/>
    <w:rsid w:val="3F5C42DA"/>
    <w:rsid w:val="43E475B8"/>
    <w:rsid w:val="458B37F5"/>
    <w:rsid w:val="48832669"/>
    <w:rsid w:val="48E87EB6"/>
    <w:rsid w:val="4A4F3891"/>
    <w:rsid w:val="4D50731E"/>
    <w:rsid w:val="4D9B3CEE"/>
    <w:rsid w:val="5003387E"/>
    <w:rsid w:val="52567629"/>
    <w:rsid w:val="582B68F4"/>
    <w:rsid w:val="5D083F24"/>
    <w:rsid w:val="60200FEF"/>
    <w:rsid w:val="60860A87"/>
    <w:rsid w:val="60B46440"/>
    <w:rsid w:val="635C762A"/>
    <w:rsid w:val="71FC58C7"/>
    <w:rsid w:val="72A93C73"/>
    <w:rsid w:val="7C701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3BB22-7BBE-43EF-9504-2285BC3974D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3325</Words>
  <Characters>3538</Characters>
  <Lines>26</Lines>
  <Paragraphs>7</Paragraphs>
  <TotalTime>45</TotalTime>
  <ScaleCrop>false</ScaleCrop>
  <LinksUpToDate>false</LinksUpToDate>
  <CharactersWithSpaces>3604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2021-05-21T22:35:00Z</dcterms:created>
  <dc:creator>亚亚</dc:creator>
  <cp:lastModifiedBy>白碧青</cp:lastModifiedBy>
  <cp:lastPrinted>2019-09-11T06:01:00Z</cp:lastPrinted>
  <dcterms:modified xsi:type="dcterms:W3CDTF">2025-11-28T02:51:38Z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5E421F65931F426F939683057E5EFA23_13</vt:lpwstr>
  </property>
  <property fmtid="{D5CDD505-2E9C-101B-9397-08002B2CF9AE}" pid="4" name="KSOTemplateDocerSaveRecord">
    <vt:lpwstr>eyJoZGlkIjoiMTYzNjFmNjZjZWI3Y2I5NWM0MmMxODM1ODU2MmJmODUiLCJ1c2VySWQiOiI2MzE5NTU0OTcifQ==</vt:lpwstr>
  </property>
</Properties>
</file>