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bookmarkStart w:id="0" w:name="_GoBack"/>
      <w:bookmarkEnd w:id="0"/>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80" w:lineRule="exact"/>
        <w:ind w:firstLine="624"/>
        <w:jc w:val="center"/>
        <w:textAlignment w:val="baseline"/>
        <w:rPr>
          <w:rStyle w:val="6"/>
          <w:rFonts w:eastAsia="方正小标宋_GBK"/>
          <w:b w:val="0"/>
          <w:i w:val="0"/>
          <w:caps w:val="0"/>
          <w:spacing w:val="0"/>
          <w:w w:val="100"/>
          <w:sz w:val="52"/>
          <w:szCs w:val="52"/>
          <w:lang w:val="en-US" w:eastAsia="zh-CN" w:bidi="ar-SA"/>
        </w:rPr>
      </w:pPr>
      <w:r>
        <w:rPr>
          <w:rStyle w:val="6"/>
          <w:rFonts w:eastAsia="方正小标宋_GBK"/>
          <w:b w:val="0"/>
          <w:i w:val="0"/>
          <w:caps w:val="0"/>
          <w:spacing w:val="0"/>
          <w:w w:val="100"/>
          <w:sz w:val="52"/>
          <w:szCs w:val="52"/>
          <w:lang w:val="en-US" w:eastAsia="zh-CN" w:bidi="ar-SA"/>
        </w:rPr>
        <w:t>襄垣县治超事务中心</w:t>
      </w:r>
    </w:p>
    <w:p>
      <w:pPr>
        <w:snapToGrid w:val="0"/>
        <w:spacing w:before="0" w:beforeAutospacing="0" w:after="0" w:afterAutospacing="0" w:line="580" w:lineRule="exact"/>
        <w:ind w:firstLine="624"/>
        <w:jc w:val="center"/>
        <w:textAlignment w:val="baseline"/>
        <w:rPr>
          <w:rStyle w:val="6"/>
          <w:rFonts w:eastAsia="方正小标宋_GBK"/>
          <w:b w:val="0"/>
          <w:i w:val="0"/>
          <w:caps w:val="0"/>
          <w:spacing w:val="0"/>
          <w:w w:val="100"/>
          <w:sz w:val="52"/>
          <w:szCs w:val="52"/>
          <w:lang w:val="en-US" w:eastAsia="zh-CN" w:bidi="ar-SA"/>
        </w:rPr>
      </w:pPr>
    </w:p>
    <w:p>
      <w:pPr>
        <w:snapToGrid w:val="0"/>
        <w:spacing w:before="0" w:beforeAutospacing="0" w:after="0" w:afterAutospacing="0" w:line="580" w:lineRule="exact"/>
        <w:ind w:firstLine="624"/>
        <w:jc w:val="center"/>
        <w:textAlignment w:val="baseline"/>
        <w:rPr>
          <w:rStyle w:val="6"/>
          <w:rFonts w:eastAsia="方正小标宋_GBK"/>
          <w:b w:val="0"/>
          <w:i w:val="0"/>
          <w:caps w:val="0"/>
          <w:spacing w:val="0"/>
          <w:w w:val="100"/>
          <w:sz w:val="44"/>
          <w:szCs w:val="44"/>
          <w:lang w:val="en-US" w:eastAsia="zh-CN" w:bidi="ar-SA"/>
        </w:rPr>
      </w:pPr>
      <w:r>
        <w:rPr>
          <w:rStyle w:val="6"/>
          <w:rFonts w:eastAsia="方正小标宋_GBK"/>
          <w:b w:val="0"/>
          <w:i w:val="0"/>
          <w:caps w:val="0"/>
          <w:spacing w:val="0"/>
          <w:w w:val="100"/>
          <w:sz w:val="52"/>
          <w:szCs w:val="52"/>
          <w:lang w:val="en-US" w:eastAsia="zh-CN" w:bidi="ar-SA"/>
        </w:rPr>
        <w:t>2020年度部门决算公开</w:t>
      </w: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50" w:lineRule="exact"/>
        <w:ind w:firstLine="624"/>
        <w:jc w:val="center"/>
        <w:textAlignment w:val="baseline"/>
        <w:rPr>
          <w:rStyle w:val="6"/>
          <w:rFonts w:eastAsia="方正小标宋_GBK"/>
          <w:b w:val="0"/>
          <w:i w:val="0"/>
          <w:caps w:val="0"/>
          <w:spacing w:val="0"/>
          <w:w w:val="100"/>
          <w:sz w:val="44"/>
          <w:szCs w:val="44"/>
          <w:lang w:val="en-US" w:eastAsia="zh-CN" w:bidi="ar-SA"/>
        </w:rPr>
      </w:pPr>
      <w:r>
        <w:rPr>
          <w:rStyle w:val="6"/>
          <w:rFonts w:eastAsia="方正仿宋_GBK"/>
          <w:b w:val="0"/>
          <w:i w:val="0"/>
          <w:caps w:val="0"/>
          <w:spacing w:val="0"/>
          <w:w w:val="100"/>
          <w:sz w:val="32"/>
          <w:lang w:val="en-US" w:eastAsia="zh-CN" w:bidi="ar-SA"/>
        </w:rPr>
        <w:br w:type="page"/>
      </w:r>
      <w:r>
        <w:rPr>
          <w:rStyle w:val="6"/>
          <w:rFonts w:eastAsia="方正小标宋_GBK"/>
          <w:b w:val="0"/>
          <w:i w:val="0"/>
          <w:caps w:val="0"/>
          <w:spacing w:val="0"/>
          <w:w w:val="100"/>
          <w:sz w:val="44"/>
          <w:szCs w:val="44"/>
          <w:lang w:val="en-US" w:eastAsia="zh-CN" w:bidi="ar-SA"/>
        </w:rPr>
        <w:t>目  录</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第一部分 部门概况</w:t>
      </w:r>
    </w:p>
    <w:p>
      <w:pPr>
        <w:numPr>
          <w:ilvl w:val="0"/>
          <w:numId w:val="0"/>
        </w:numPr>
        <w:tabs>
          <w:tab w:val="left" w:pos="567"/>
        </w:tabs>
        <w:snapToGrid w:val="0"/>
        <w:spacing w:before="0" w:beforeAutospacing="0" w:after="0" w:afterAutospacing="0" w:line="550" w:lineRule="exact"/>
        <w:jc w:val="both"/>
        <w:textAlignment w:val="baseline"/>
        <w:rPr>
          <w:rStyle w:val="6"/>
          <w:rFonts w:eastAsia="方正黑体_GBK"/>
          <w:b w:val="0"/>
          <w:i w:val="0"/>
          <w:caps w:val="0"/>
          <w:spacing w:val="0"/>
          <w:w w:val="100"/>
          <w:sz w:val="28"/>
          <w:szCs w:val="28"/>
          <w:lang w:val="en-US" w:eastAsia="zh-CN" w:bidi="ar-SA"/>
        </w:rPr>
      </w:pPr>
      <w:r>
        <w:rPr>
          <w:rStyle w:val="6"/>
          <w:rFonts w:hint="eastAsia" w:eastAsia="方正黑体_GBK"/>
          <w:b w:val="0"/>
          <w:i w:val="0"/>
          <w:caps w:val="0"/>
          <w:spacing w:val="0"/>
          <w:w w:val="100"/>
          <w:sz w:val="28"/>
          <w:szCs w:val="28"/>
          <w:lang w:val="en-US" w:eastAsia="zh-CN" w:bidi="ar-SA"/>
        </w:rPr>
        <w:t>一、</w:t>
      </w:r>
      <w:r>
        <w:rPr>
          <w:rStyle w:val="6"/>
          <w:rFonts w:eastAsia="方正黑体_GBK"/>
          <w:b w:val="0"/>
          <w:i w:val="0"/>
          <w:caps w:val="0"/>
          <w:spacing w:val="0"/>
          <w:w w:val="100"/>
          <w:sz w:val="28"/>
          <w:szCs w:val="28"/>
          <w:lang w:val="en-US" w:eastAsia="zh-CN" w:bidi="ar-SA"/>
        </w:rPr>
        <w:t>主要职能</w:t>
      </w:r>
    </w:p>
    <w:p>
      <w:pPr>
        <w:numPr>
          <w:ilvl w:val="0"/>
          <w:numId w:val="0"/>
        </w:numPr>
        <w:tabs>
          <w:tab w:val="left" w:pos="567"/>
        </w:tabs>
        <w:snapToGrid w:val="0"/>
        <w:spacing w:before="0" w:beforeAutospacing="0" w:after="0" w:afterAutospacing="0" w:line="550" w:lineRule="exact"/>
        <w:jc w:val="both"/>
        <w:textAlignment w:val="baseline"/>
        <w:rPr>
          <w:rStyle w:val="6"/>
          <w:rFonts w:eastAsia="方正黑体_GBK"/>
          <w:b w:val="0"/>
          <w:i w:val="0"/>
          <w:caps w:val="0"/>
          <w:spacing w:val="0"/>
          <w:w w:val="100"/>
          <w:sz w:val="28"/>
          <w:szCs w:val="28"/>
          <w:lang w:val="en-US" w:eastAsia="zh-CN" w:bidi="ar-SA"/>
        </w:rPr>
      </w:pPr>
      <w:r>
        <w:rPr>
          <w:rStyle w:val="6"/>
          <w:rFonts w:hint="eastAsia" w:eastAsia="方正黑体_GBK"/>
          <w:b w:val="0"/>
          <w:i w:val="0"/>
          <w:caps w:val="0"/>
          <w:spacing w:val="0"/>
          <w:w w:val="100"/>
          <w:sz w:val="28"/>
          <w:szCs w:val="28"/>
          <w:lang w:val="en-US" w:eastAsia="zh-CN" w:bidi="ar-SA"/>
        </w:rPr>
        <w:t>二、</w:t>
      </w:r>
      <w:r>
        <w:rPr>
          <w:rStyle w:val="6"/>
          <w:rFonts w:eastAsia="方正黑体_GBK"/>
          <w:b w:val="0"/>
          <w:i w:val="0"/>
          <w:caps w:val="0"/>
          <w:spacing w:val="0"/>
          <w:w w:val="100"/>
          <w:sz w:val="28"/>
          <w:szCs w:val="28"/>
          <w:lang w:val="en-US" w:eastAsia="zh-CN" w:bidi="ar-SA"/>
        </w:rPr>
        <w:t>部门机构设置及决算单位构成情况</w:t>
      </w:r>
    </w:p>
    <w:p>
      <w:pPr>
        <w:numPr>
          <w:ilvl w:val="0"/>
          <w:numId w:val="0"/>
        </w:numPr>
        <w:tabs>
          <w:tab w:val="left" w:pos="567"/>
        </w:tabs>
        <w:snapToGrid w:val="0"/>
        <w:spacing w:before="0" w:beforeAutospacing="0" w:after="0" w:afterAutospacing="0" w:line="550" w:lineRule="exact"/>
        <w:jc w:val="both"/>
        <w:textAlignment w:val="baseline"/>
        <w:rPr>
          <w:rStyle w:val="6"/>
          <w:rFonts w:eastAsia="方正黑体_GBK"/>
          <w:b w:val="0"/>
          <w:i w:val="0"/>
          <w:caps w:val="0"/>
          <w:spacing w:val="0"/>
          <w:w w:val="100"/>
          <w:sz w:val="28"/>
          <w:szCs w:val="28"/>
          <w:lang w:val="en-US" w:eastAsia="zh-CN" w:bidi="ar-SA"/>
        </w:rPr>
      </w:pPr>
      <w:r>
        <w:rPr>
          <w:rStyle w:val="6"/>
          <w:rFonts w:hint="eastAsia" w:eastAsia="方正黑体_GBK"/>
          <w:b w:val="0"/>
          <w:i w:val="0"/>
          <w:caps w:val="0"/>
          <w:spacing w:val="0"/>
          <w:w w:val="100"/>
          <w:sz w:val="28"/>
          <w:szCs w:val="28"/>
          <w:lang w:val="en-US" w:eastAsia="zh-CN" w:bidi="ar-SA"/>
        </w:rPr>
        <w:t>三、</w:t>
      </w:r>
      <w:r>
        <w:rPr>
          <w:rStyle w:val="6"/>
          <w:rFonts w:eastAsia="方正黑体_GBK"/>
          <w:b w:val="0"/>
          <w:i w:val="0"/>
          <w:caps w:val="0"/>
          <w:spacing w:val="0"/>
          <w:w w:val="100"/>
          <w:sz w:val="28"/>
          <w:szCs w:val="28"/>
          <w:lang w:val="en-US" w:eastAsia="zh-CN" w:bidi="ar-SA"/>
        </w:rPr>
        <w:t>2020年度主要工作完成情况</w:t>
      </w:r>
    </w:p>
    <w:p>
      <w:pPr>
        <w:numPr>
          <w:ilvl w:val="0"/>
          <w:numId w:val="1"/>
        </w:num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2020年度部门决算情况说明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一、收入支出总体情况说明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二、收入决算情况说明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三、支出决算情况说明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 xml:space="preserve">四、财政拨款收入支出决算总体情况说明 </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五、财政拨款支出决算情况说明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六、财政拨款基本支出决算情况说明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七、一般公共预算财政拨款支出决算情况说明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八、一般公共预算财政拨款基本支出决算情况说明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九、一般公共预算财政拨款“三公” 经费、会议费、培训费支出情况说明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十、政府性基金预算财政拨款收入支出决算情况说明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十一、国有资本经营预算财政拨款支出决算情况说明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十二、机关运行经费支出决算情况说明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十三、政府采购支出决算情况说明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十四、国有资产占用情况说明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28"/>
          <w:szCs w:val="28"/>
          <w:lang w:val="en-US" w:eastAsia="zh-CN" w:bidi="ar-SA"/>
        </w:rPr>
      </w:pPr>
      <w:r>
        <w:rPr>
          <w:rStyle w:val="6"/>
          <w:rFonts w:eastAsia="方正黑体_GBK"/>
          <w:b w:val="0"/>
          <w:i w:val="0"/>
          <w:caps w:val="0"/>
          <w:spacing w:val="0"/>
          <w:w w:val="100"/>
          <w:sz w:val="28"/>
          <w:szCs w:val="28"/>
          <w:lang w:val="en-US" w:eastAsia="zh-CN" w:bidi="ar-SA"/>
        </w:rPr>
        <w:t>十五、预算绩效评价工作开展情况说明</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第三部分 名词解释</w:t>
      </w:r>
    </w:p>
    <w:p>
      <w:pPr>
        <w:snapToGrid w:val="0"/>
        <w:spacing w:before="312" w:beforeAutospacing="1" w:after="312" w:afterAutospacing="1" w:line="550" w:lineRule="exact"/>
        <w:ind w:firstLine="624"/>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br w:type="page"/>
      </w:r>
      <w:r>
        <w:rPr>
          <w:rStyle w:val="6"/>
          <w:rFonts w:eastAsia="方正小标宋_GBK"/>
          <w:b w:val="0"/>
          <w:i w:val="0"/>
          <w:caps w:val="0"/>
          <w:spacing w:val="0"/>
          <w:w w:val="100"/>
          <w:sz w:val="36"/>
          <w:szCs w:val="36"/>
          <w:lang w:val="en-US" w:eastAsia="zh-CN" w:bidi="ar-SA"/>
        </w:rPr>
        <w:t>第一部分　部门概况</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一、部门主要职能</w:t>
      </w:r>
    </w:p>
    <w:p>
      <w:pPr>
        <w:snapToGrid w:val="0"/>
        <w:spacing w:before="0" w:beforeAutospacing="0" w:after="0" w:afterAutospacing="0" w:line="590" w:lineRule="atLeast"/>
        <w:ind w:firstLine="645"/>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1、在领导组领导下负责组织、协调、督导全县治理车辆超限超载各项具体工作的贯彻落实。</w:t>
      </w:r>
    </w:p>
    <w:p>
      <w:pPr>
        <w:snapToGrid w:val="0"/>
        <w:spacing w:before="0" w:beforeAutospacing="0" w:after="0" w:afterAutospacing="0" w:line="590" w:lineRule="atLeast"/>
        <w:ind w:firstLine="645"/>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2、负责收集、统计、汇总、分析全县超限超载工作信息，定期编写全县治超工作情况通报，及时向县政府报告有关情况，并向市治超办上报统计信息。</w:t>
      </w:r>
    </w:p>
    <w:p>
      <w:pPr>
        <w:snapToGrid w:val="0"/>
        <w:spacing w:before="0" w:beforeAutospacing="0" w:after="0" w:afterAutospacing="0" w:line="590" w:lineRule="atLeast"/>
        <w:ind w:firstLine="645"/>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3、加强与成员单位的协调和联络，严格治超执法人员培训、教育管理，及时解决工作中出现的问题，妥善处理好人民群众举报、投诉等信访事件，加强对路面稽查、治超站点、货运源头治理工作的执法人员的管理和监督。</w:t>
      </w:r>
    </w:p>
    <w:p>
      <w:pPr>
        <w:snapToGrid w:val="0"/>
        <w:spacing w:before="0" w:beforeAutospacing="0" w:after="0" w:afterAutospacing="0" w:line="590" w:lineRule="atLeast"/>
        <w:ind w:firstLine="645"/>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4、负责有关会议的筹备和相关文件的起草，承办领导组交办的日常工作。</w:t>
      </w:r>
    </w:p>
    <w:p>
      <w:pPr>
        <w:snapToGrid w:val="0"/>
        <w:spacing w:before="0" w:beforeAutospacing="0" w:after="0" w:afterAutospacing="0" w:line="590" w:lineRule="atLeast"/>
        <w:ind w:firstLine="645"/>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5、加强与省、市主管部门的联系，完成上级要求督办、交办的责任倒查案件，管理、维护好治超科技信息平台。</w:t>
      </w:r>
    </w:p>
    <w:p>
      <w:pPr>
        <w:snapToGrid w:val="0"/>
        <w:spacing w:before="0" w:beforeAutospacing="0" w:after="0" w:afterAutospacing="0" w:line="590" w:lineRule="atLeast"/>
        <w:ind w:firstLine="645"/>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6、协调领导组各成员单位工作，督促各成员单位发挥自身职能作用，确保各项治超工作任务的落实。</w:t>
      </w:r>
    </w:p>
    <w:p>
      <w:pPr>
        <w:snapToGrid w:val="0"/>
        <w:spacing w:before="0" w:beforeAutospacing="0" w:after="0" w:afterAutospacing="0" w:line="590" w:lineRule="atLeast"/>
        <w:ind w:firstLine="645"/>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7、加强本单位的安全、应急管理工作。</w:t>
      </w:r>
    </w:p>
    <w:p>
      <w:pPr>
        <w:snapToGrid w:val="0"/>
        <w:spacing w:before="0" w:beforeAutospacing="0" w:after="0" w:afterAutospacing="0" w:line="590" w:lineRule="atLeast"/>
        <w:ind w:firstLine="645"/>
        <w:jc w:val="both"/>
        <w:textAlignment w:val="baseline"/>
        <w:rPr>
          <w:rStyle w:val="6"/>
          <w:rFonts w:ascii="方正黑体_GBK" w:eastAsia="方正黑体_GBK"/>
          <w:b w:val="0"/>
          <w:i w:val="0"/>
          <w:caps w:val="0"/>
          <w:color w:val="000000"/>
          <w:spacing w:val="0"/>
          <w:w w:val="100"/>
          <w:sz w:val="32"/>
          <w:szCs w:val="32"/>
          <w:lang w:val="en-US" w:eastAsia="zh-CN" w:bidi="ar-SA"/>
        </w:rPr>
      </w:pPr>
      <w:r>
        <w:rPr>
          <w:rStyle w:val="6"/>
          <w:rFonts w:ascii="仿宋" w:hAnsi="仿宋" w:eastAsia="仿宋"/>
          <w:b w:val="0"/>
          <w:i w:val="0"/>
          <w:caps w:val="0"/>
          <w:color w:val="000000"/>
          <w:spacing w:val="0"/>
          <w:w w:val="100"/>
          <w:kern w:val="2"/>
          <w:sz w:val="30"/>
          <w:szCs w:val="30"/>
          <w:lang w:val="en-US" w:eastAsia="zh-CN"/>
        </w:rPr>
        <w:t>8、承办县委、县政府及上级交办的其他工作。</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二、部门机构设置及决算单位构成情况</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1、 根据部门职责分工，本部门内设机构包括3个职能股室，职能股室分别为：综合股、稽查股、信息股</w:t>
      </w:r>
      <w:r>
        <w:rPr>
          <w:rStyle w:val="6"/>
          <w:rFonts w:ascii="仿宋" w:hAnsi="仿宋" w:eastAsia="仿宋"/>
          <w:b w:val="0"/>
          <w:i w:val="0"/>
          <w:caps w:val="0"/>
          <w:color w:val="000000"/>
          <w:spacing w:val="0"/>
          <w:w w:val="100"/>
          <w:kern w:val="2"/>
          <w:sz w:val="32"/>
          <w:szCs w:val="32"/>
          <w:lang w:val="en-US" w:eastAsia="zh-CN"/>
        </w:rPr>
        <w:t>。现有全额事业编制5名，因工作量大的原因，从相关单位抽调有5名工作人员，其中交运局2名，运管1名，公路段1名，交警</w:t>
      </w:r>
      <w:r>
        <w:rPr>
          <w:rStyle w:val="6"/>
          <w:rFonts w:ascii="仿宋" w:hAnsi="仿宋" w:eastAsia="仿宋"/>
          <w:b w:val="0"/>
          <w:i w:val="0"/>
          <w:caps w:val="0"/>
          <w:color w:val="000000"/>
          <w:spacing w:val="0"/>
          <w:w w:val="100"/>
          <w:kern w:val="2"/>
          <w:sz w:val="30"/>
          <w:szCs w:val="30"/>
          <w:lang w:val="en-US" w:eastAsia="zh-CN"/>
        </w:rPr>
        <w:t>队1名，本部门无下属单位。</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 从决算单位构成看，纳入襄垣县治超事务中心2020年部门汇总决算编制范围的预算单位共计1家，具体包括： 襄垣县治超事务中心。</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三、2020年度主要工作完成情况</w:t>
      </w:r>
    </w:p>
    <w:p>
      <w:pPr>
        <w:snapToGrid w:val="0"/>
        <w:spacing w:before="0" w:beforeAutospacing="0" w:after="0" w:afterAutospacing="0" w:line="550" w:lineRule="exact"/>
        <w:ind w:firstLine="640" w:firstLineChars="200"/>
        <w:jc w:val="both"/>
        <w:textAlignment w:val="baseline"/>
        <w:rPr>
          <w:rStyle w:val="6"/>
          <w:rFonts w:ascii="仿宋" w:hAnsi="仿宋" w:eastAsia="仿宋"/>
          <w:b w:val="0"/>
          <w:i w:val="0"/>
          <w:caps w:val="0"/>
          <w:color w:val="000000"/>
          <w:spacing w:val="0"/>
          <w:w w:val="100"/>
          <w:kern w:val="2"/>
          <w:sz w:val="32"/>
          <w:szCs w:val="32"/>
          <w:lang w:val="en-US" w:eastAsia="zh-CN"/>
        </w:rPr>
      </w:pPr>
      <w:r>
        <w:rPr>
          <w:rStyle w:val="6"/>
          <w:rFonts w:ascii="仿宋" w:hAnsi="仿宋" w:eastAsia="仿宋"/>
          <w:b w:val="0"/>
          <w:i w:val="0"/>
          <w:caps w:val="0"/>
          <w:color w:val="000000"/>
          <w:spacing w:val="0"/>
          <w:w w:val="100"/>
          <w:kern w:val="2"/>
          <w:sz w:val="32"/>
          <w:szCs w:val="32"/>
          <w:lang w:val="en-US" w:eastAsia="zh-CN"/>
        </w:rPr>
        <w:t>2020年度收入1846674.58元，支出2053942.58元，年末结转和结余-207268元。</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sectPr>
          <w:footerReference r:id="rId5" w:type="default"/>
          <w:footerReference r:id="rId6" w:type="even"/>
          <w:pgSz w:w="11906" w:h="16838"/>
          <w:pgMar w:top="1814" w:right="1588" w:bottom="1985" w:left="1588" w:header="851" w:footer="992" w:gutter="0"/>
          <w:lnNumType w:countBy="0"/>
          <w:pgNumType w:start="1"/>
          <w:cols w:space="425" w:num="1"/>
          <w:vAlign w:val="top"/>
          <w:docGrid w:type="lines" w:linePitch="312" w:charSpace="0"/>
        </w:sectPr>
      </w:pPr>
    </w:p>
    <w:p>
      <w:pPr>
        <w:snapToGrid w:val="0"/>
        <w:spacing w:before="312" w:beforeAutospacing="1" w:after="312" w:afterAutospacing="1" w:line="550" w:lineRule="exact"/>
        <w:ind w:firstLine="1440" w:firstLineChars="400"/>
        <w:jc w:val="both"/>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第二部分  2020年度部门决算情况说明</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一、收入支出总体情况说明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襄垣县治超事务中心2020年度收入、支出总计 406.18万元，与上年相比收、支总计各增加  267.34 万元，增长  192.55  %。主要原因是增加项目。其中：</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（一）收入总计203.09万元。包括：</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1．财政拨款收入 184.67 万元，为当年从财政取得的一般公共预算拨款和政府性基金预算拨款， 与上年相比增加     133.67万元，增长 192.55 %。主要原因是项目增加。</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2．上级补助收入 0 万元，与上年相比增加 0  万元，增长 0 %。主要原因是无。</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3．事业收入 0 万元，与上年相比增加 0 万元，增长 0 %。</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4．经营收入 0万元，与上年相比增加0 万元，增长 0 %。</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5．附属单位上缴收入  0 万元，与上年相比增加 0万元，增长 0 %。</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6．其他收入 0 万元，与上年相比增加 0 万元，增长 0 %。7．用事业基金弥补收支差额  0 万元。</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8．年初结转和结余 18.42 万元，主要为治超事务中心上年结转本年使用的市治超奖励资金。</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（二）支出总计 203.09 万元。包括：</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1．交通运输支出（ 类 ）201.59 万元，主要用于人员经费、公用经费支出、科技治超项目支出。与上年相比增加 132.17万元，增长190.39 %。主要原因是科技治超项目增加。</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2．结余分配 0 万元，与上年相比增加 0  万元，增长 0 %。</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3．年末结转和结余 1.5 万元，为单位结转下年的项目支出结转和结余和经营结余。主要为治超事务中心本年度预算安排的科技治超无法按原计划实施，需要延迟到以后年度按有关规定使用的资金。</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二、收入决算情况说明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襄垣县治超事务中心本年收入合计184.67万元，其中：财政拨款收入184.67万元，占100%；上级补助收入0万元，占0%；事业收入0万元，占0%；经营收入0万元，占0 %；附属单位上缴收入0 万元，占0%；其他收入0万元，占0 %。</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三、支出决算情况说明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襄垣县治超事务中心本年支出合计201.59万元，其中：基本支出33.66万元，占16.7%；项目支出167.93万元，占83.3%；经营支出0万元，占0%；对附属单位补助支出0万元，占0%。</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四、财政拨款收入支出决算总体情况说明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襄垣县治超事务中心2020年度财政拨款收、支总决算369.34万元。与上年相比，财政拨款收、支总计各增加133.77万元，增长（减少）262.8%。主要原因是科技治超项目增加。</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五、财政拨款支出决算情况说明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财政拨款支出决算反映的是一般公共预算和政府性基金预算财政拨款支出的总体情况，既包括使用本年从本级财政取得的拨款发生的支出，也包括使用上年度财政拨款结转和结余资金发生的支出。襄垣县治超事务中心2020年财政拨款支出184.67万元，占本年支出合计的 91.6%。与上年相比，财政拨款支出增加 133.77万元，增长72.43 %。主要原因是科技治超项目增加。</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襄垣县治超事务中心2020年度财政拨款支出年初预算为234.71万元，支出决算为201.59万元，完成年初预算的85.89%。决算数小于年初预算的主要原因是严格按照省市县标准，</w:t>
      </w:r>
      <w:r>
        <w:rPr>
          <w:rStyle w:val="6"/>
          <w:rFonts w:hint="eastAsia" w:ascii="仿宋" w:hAnsi="仿宋" w:eastAsia="仿宋"/>
          <w:b w:val="0"/>
          <w:i w:val="0"/>
          <w:caps w:val="0"/>
          <w:color w:val="000000"/>
          <w:spacing w:val="0"/>
          <w:w w:val="100"/>
          <w:kern w:val="2"/>
          <w:sz w:val="30"/>
          <w:szCs w:val="30"/>
          <w:lang w:val="en-US" w:eastAsia="zh-CN"/>
        </w:rPr>
        <w:t>中央八项规定</w:t>
      </w:r>
      <w:r>
        <w:rPr>
          <w:rStyle w:val="6"/>
          <w:rFonts w:ascii="仿宋" w:hAnsi="仿宋" w:eastAsia="仿宋"/>
          <w:b w:val="0"/>
          <w:i w:val="0"/>
          <w:caps w:val="0"/>
          <w:color w:val="000000"/>
          <w:spacing w:val="0"/>
          <w:w w:val="100"/>
          <w:kern w:val="2"/>
          <w:sz w:val="30"/>
          <w:szCs w:val="30"/>
          <w:lang w:val="en-US" w:eastAsia="zh-CN"/>
        </w:rPr>
        <w:t>勤俭节约。其中：</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交通运输支出（类）</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公路水路运输（款）  公路和运输安全（项）。年初预算为25.62万元，支出决算为29.42万元，完成年初预算的114.82%。决算数大于预算数的主要原因人员增加。  公路运输管理（项）。年初预算为0万元，支出决算为29.42万元，完成年初预算的0%。决算数大于预算数的主要原因为增加预算，用于治超系统运行维护。</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六、财政拨款基本支出决算情况说明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襄垣县治超事务中心2020年度财政拨款基本支出33.66万元，其中：</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（一）人员经费 29.42万元。主要包括：基本工资15.26万元、津贴补贴2.53万元、奖金2.4万元、绩效工资9.22万元支出。</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（二）公用经费6万元。主要包括：办公费2万元、印刷费0.09万元、邮电费0.16万元、差旅费0.31万元、委托业务费0.1万元、工会经费0.6万元、公务用车运行维护费0.94万元、其他商品和服务支出0.01万元支出。</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七、一般公共预算财政拨款支出决算情况说明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襄垣县治超事务中心2020年一般公共预算财政拨款支出 201.59万元，与上年相比增加132.17万元，增长190.39 %。主要原因是科技治超项目增加。襄垣县治超事务中心2020年度一般公共预算财政拨款支出年初预算为234.71万元，支出决算为201.59万元，完成年初预算的85.89%。决算数小于年初预算的主要原因是严格按照省市县标准，</w:t>
      </w:r>
      <w:r>
        <w:rPr>
          <w:rStyle w:val="6"/>
          <w:rFonts w:hint="eastAsia" w:ascii="仿宋" w:hAnsi="仿宋" w:eastAsia="仿宋"/>
          <w:b w:val="0"/>
          <w:i w:val="0"/>
          <w:caps w:val="0"/>
          <w:color w:val="000000"/>
          <w:spacing w:val="0"/>
          <w:w w:val="100"/>
          <w:kern w:val="2"/>
          <w:sz w:val="30"/>
          <w:szCs w:val="30"/>
          <w:lang w:val="en-US" w:eastAsia="zh-CN"/>
        </w:rPr>
        <w:t>中央八项规定</w:t>
      </w:r>
      <w:r>
        <w:rPr>
          <w:rStyle w:val="6"/>
          <w:rFonts w:ascii="仿宋" w:hAnsi="仿宋" w:eastAsia="仿宋"/>
          <w:b w:val="0"/>
          <w:i w:val="0"/>
          <w:caps w:val="0"/>
          <w:color w:val="000000"/>
          <w:spacing w:val="0"/>
          <w:w w:val="100"/>
          <w:kern w:val="2"/>
          <w:sz w:val="30"/>
          <w:szCs w:val="30"/>
          <w:lang w:val="en-US" w:eastAsia="zh-CN"/>
        </w:rPr>
        <w:t>勤俭节约。</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八、一般公共预算财政拨款基本支出决算情况说明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襄垣县治超事务中心2020年度一般公共预算财政拨款基本支出35.42万元，其中：</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（一）人员经费29.42万元。主要包括：基本工资15.26万元、津贴补贴2.53万元、奖金2.4万元、绩效工资9.22万元支出。</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（二）公用经费6万元。主要包括：办公费2万元、印刷费0.09万元、邮电费0.16万元、差旅费0.31万元、委托业务费0.1万元、工会经费0.6万元、公务用车运行维护费0.94万元、其他商品和服务支出0.01万元支出。</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九、一般公共预算财政拨款“三公”经费、会议费、培训费支出情况说明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 年度一般公共预算拨款安排的“三公”经费决算支出中，因公出国（境）费支出0万元，占“三公”经费的 0%；公务用车购置及运行费支出 0.94万元，占“三公”经费的 47   %；公务接待费支出 0万元，占“三公”经费的0 %。具体情况如下：</w:t>
      </w:r>
    </w:p>
    <w:p>
      <w:pPr>
        <w:numPr>
          <w:ilvl w:val="0"/>
          <w:numId w:val="2"/>
        </w:num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因公出国（境）费决算支出  0 万元，完成预算的 0   %，比上年决算增加（减少） 0  万元，全年使用一般公共预算拨款支出安排的出国（境）团组 0  个，累计  0 人次。</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2．公务用车购置及运行费支出 0.94 万元。其中：</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（1）公务用车购置决算支出 0 万元，完成预算的 0 %，比上年决算增加 0万元，主要原因为无。本年度使用一般公共预算拨款购置公务用车 0 辆。</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（2）公务用车运行维护费决算支出 0.94 万元，完成预算的 47 %，比上年决算减少0.02万元，主要原因为严格按照省市县标准，</w:t>
      </w:r>
      <w:r>
        <w:rPr>
          <w:rStyle w:val="6"/>
          <w:rFonts w:hint="eastAsia" w:ascii="仿宋" w:hAnsi="仿宋" w:eastAsia="仿宋"/>
          <w:b w:val="0"/>
          <w:i w:val="0"/>
          <w:caps w:val="0"/>
          <w:color w:val="000000"/>
          <w:spacing w:val="0"/>
          <w:w w:val="100"/>
          <w:kern w:val="2"/>
          <w:sz w:val="30"/>
          <w:szCs w:val="30"/>
          <w:lang w:val="en-US" w:eastAsia="zh-CN"/>
        </w:rPr>
        <w:t>中央八项规定</w:t>
      </w:r>
      <w:r>
        <w:rPr>
          <w:rStyle w:val="6"/>
          <w:rFonts w:ascii="仿宋" w:hAnsi="仿宋" w:eastAsia="仿宋"/>
          <w:b w:val="0"/>
          <w:i w:val="0"/>
          <w:caps w:val="0"/>
          <w:color w:val="000000"/>
          <w:spacing w:val="0"/>
          <w:w w:val="100"/>
          <w:kern w:val="2"/>
          <w:sz w:val="30"/>
          <w:szCs w:val="30"/>
          <w:lang w:val="en-US" w:eastAsia="zh-CN"/>
        </w:rPr>
        <w:t>勤俭节约；决算数小于）预算数的主要原因严格按照省市县标准，</w:t>
      </w:r>
      <w:r>
        <w:rPr>
          <w:rStyle w:val="6"/>
          <w:rFonts w:hint="eastAsia" w:ascii="仿宋" w:hAnsi="仿宋" w:eastAsia="仿宋"/>
          <w:b w:val="0"/>
          <w:i w:val="0"/>
          <w:caps w:val="0"/>
          <w:color w:val="000000"/>
          <w:spacing w:val="0"/>
          <w:w w:val="100"/>
          <w:kern w:val="2"/>
          <w:sz w:val="30"/>
          <w:szCs w:val="30"/>
          <w:lang w:val="en-US" w:eastAsia="zh-CN"/>
        </w:rPr>
        <w:t>中央八项规定</w:t>
      </w:r>
      <w:r>
        <w:rPr>
          <w:rStyle w:val="6"/>
          <w:rFonts w:ascii="仿宋" w:hAnsi="仿宋" w:eastAsia="仿宋"/>
          <w:b w:val="0"/>
          <w:i w:val="0"/>
          <w:caps w:val="0"/>
          <w:color w:val="000000"/>
          <w:spacing w:val="0"/>
          <w:w w:val="100"/>
          <w:kern w:val="2"/>
          <w:sz w:val="30"/>
          <w:szCs w:val="30"/>
          <w:lang w:val="en-US" w:eastAsia="zh-CN"/>
        </w:rPr>
        <w:t>勤俭节约。公务用车运行维护费主要用于公车加油、保养、保险等支出。2020年使用一般公共预算拨款开支运行维护费的公务用车保有量 1辆。</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3．公务接待费 0万元。其中：</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（1）外事接待支出 0 万元，完成预算的 0%，比上年决算增加 0万元，2020年使用一般公共预算拨款开支的外事接待0 批次， 0 人次。</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（2）国内公务接待支出 0万元，完成预算的 0 %，比上年决算增加  0万元，2020年使用一般公共预算拨款开支的国内公务接待 0批次， 0 人次。</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襄垣县治超事务中心2020年度一般公共预算拨款安排的会议费决算支出 0万元，完成预算的 0 %，比上年决算增加（减少）0 万元，2020年度全年召开会议 0 个，参加会议 0 人次。</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 年度一般公共预算拨款安排的培训费决算支出 0 万元，完成预算的 0  %，比上年决算增加（减少）0  万元，2020年度全年组织培训 0 个，组织培训 0 人次。</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十、政府性基金预算财政拨款收入支出决算情况说明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襄垣县治超事务中心2020年政府性基金预算财政拨款年初结转和结余  0万元，本年收入决算 0 万元，本年支出决算 0 万元，年末结转和结余  0万元。</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 xml:space="preserve">十一、国有资本经营预算财政拨款支出决算情况说明 </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2020年度无此项支出。</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十二、机关运行经费支出决算情况说明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2020年本部门机关运行经费支出 4.23 万元，比2019年增加 1.29万元，增长（降低）51.08 %。主要原因是：日常事务增加。</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十三、政府采购支出决算情况说明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2020年度政府采购支出总额 0 万元，其中：政府采购货物支出 0 万元、政府采购工程支出0 万元、政府采购服务支出0  万元。授予中小企业合同金额  0万元，占政府采购支出总额的0 %，其中：授予小微企业合同金额 0 万元，占政府采购支出总额的0 %。</w:t>
      </w:r>
    </w:p>
    <w:p>
      <w:pPr>
        <w:snapToGrid w:val="0"/>
        <w:spacing w:before="0" w:beforeAutospacing="0" w:after="0" w:afterAutospacing="0" w:line="550" w:lineRule="exact"/>
        <w:ind w:firstLine="640" w:firstLineChars="200"/>
        <w:jc w:val="both"/>
        <w:textAlignment w:val="baseline"/>
        <w:rPr>
          <w:rStyle w:val="6"/>
          <w:rFonts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十四、国有资产占用情况说明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截至2020年12月31日，本部门共有车辆1辆，其中，省部级领导干部用车0辆、厅级领导干部用车0辆、一般公务用车0辆、一般执法执勤用车1辆、特种专业技术用车0辆、其他用车0辆；单价50万元（含）以上的通用设备1台（套）；单价100万元（含）以上的专用设备0台（套）。</w:t>
      </w:r>
    </w:p>
    <w:p>
      <w:pPr>
        <w:snapToGrid w:val="0"/>
        <w:spacing w:before="0" w:beforeAutospacing="0" w:after="0" w:afterAutospacing="0" w:line="550" w:lineRule="exact"/>
        <w:ind w:firstLine="640" w:firstLineChars="200"/>
        <w:jc w:val="both"/>
        <w:textAlignment w:val="baseline"/>
        <w:rPr>
          <w:rStyle w:val="6"/>
          <w:rFonts w:ascii="方正黑体_GBK" w:eastAsia="方正黑体_GBK"/>
          <w:b w:val="0"/>
          <w:i w:val="0"/>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十五、预算绩效评价工作开展情况说明</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本部门2020年度共 2 个项目开展了绩效评价工作，涉及财政性资金合计193.77万元。</w:t>
      </w:r>
    </w:p>
    <w:p>
      <w:pPr>
        <w:snapToGrid w:val="0"/>
        <w:spacing w:before="0" w:beforeAutospacing="0" w:after="0" w:afterAutospacing="0" w:line="550" w:lineRule="exact"/>
        <w:ind w:firstLine="640" w:firstLineChars="200"/>
        <w:jc w:val="both"/>
        <w:textAlignment w:val="baseline"/>
        <w:rPr>
          <w:rStyle w:val="6"/>
          <w:rFonts w:eastAsia="方正仿宋_GBK"/>
          <w:b w:val="0"/>
          <w:i w:val="0"/>
          <w:caps w:val="0"/>
          <w:spacing w:val="0"/>
          <w:w w:val="100"/>
          <w:sz w:val="32"/>
          <w:szCs w:val="32"/>
          <w:lang w:val="en-US" w:eastAsia="zh-CN" w:bidi="ar-SA"/>
        </w:rPr>
      </w:pPr>
    </w:p>
    <w:p>
      <w:pPr>
        <w:snapToGrid w:val="0"/>
        <w:spacing w:before="0" w:beforeAutospacing="0" w:after="0" w:afterAutospacing="0" w:line="550" w:lineRule="exact"/>
        <w:ind w:firstLine="640" w:firstLineChars="200"/>
        <w:jc w:val="both"/>
        <w:textAlignment w:val="baseline"/>
        <w:rPr>
          <w:rStyle w:val="6"/>
          <w:rFonts w:eastAsia="方正仿宋_GBK"/>
          <w:b w:val="0"/>
          <w:i w:val="0"/>
          <w:caps w:val="0"/>
          <w:spacing w:val="0"/>
          <w:w w:val="100"/>
          <w:sz w:val="32"/>
          <w:szCs w:val="32"/>
          <w:lang w:val="en-US" w:eastAsia="zh-CN" w:bidi="ar-SA"/>
        </w:rPr>
      </w:pPr>
    </w:p>
    <w:p>
      <w:pPr>
        <w:snapToGrid w:val="0"/>
        <w:spacing w:before="0" w:beforeAutospacing="0" w:after="0" w:afterAutospacing="0" w:line="550" w:lineRule="exact"/>
        <w:ind w:firstLine="640" w:firstLineChars="200"/>
        <w:jc w:val="both"/>
        <w:textAlignment w:val="baseline"/>
        <w:rPr>
          <w:rStyle w:val="6"/>
          <w:rFonts w:eastAsia="方正仿宋_GBK"/>
          <w:b w:val="0"/>
          <w:i w:val="0"/>
          <w:caps w:val="0"/>
          <w:spacing w:val="0"/>
          <w:w w:val="100"/>
          <w:sz w:val="32"/>
          <w:szCs w:val="32"/>
          <w:lang w:val="en-US" w:eastAsia="zh-CN" w:bidi="ar-SA"/>
        </w:rPr>
      </w:pPr>
    </w:p>
    <w:p>
      <w:pPr>
        <w:snapToGrid w:val="0"/>
        <w:spacing w:before="312" w:beforeAutospacing="1" w:after="312" w:afterAutospacing="1" w:line="550" w:lineRule="exact"/>
        <w:ind w:firstLine="624"/>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第三部分　名词解释</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一、财政拨款收入：指单位本年度从财政部门取得的财政拨款。</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二、年初结转和结余：指单位上年结转本年使用的基本支出结转、项目支出结转和结余和经营结余。</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三、年末结转和结余资金：指本年度或以前年度预算安排、因客观条件发生变化无法按原计划实施，需要延迟到以后年度按有关规定继续使用的资金。</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四、基本支出：指为保障机构正常运转、完成日常工作任务而发生的人员支出和公用支出。</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五、项目支出：指在基本支出之外为完成特定的行政任务或事业发展目标所发生的支出。</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snapToGrid w:val="0"/>
        <w:spacing w:before="0" w:beforeAutospacing="0" w:after="0" w:afterAutospacing="0" w:line="550" w:lineRule="exact"/>
        <w:ind w:firstLine="600" w:firstLineChars="200"/>
        <w:jc w:val="both"/>
        <w:textAlignment w:val="baseline"/>
        <w:rPr>
          <w:rStyle w:val="6"/>
          <w:rFonts w:ascii="仿宋" w:hAnsi="仿宋" w:eastAsia="仿宋"/>
          <w:b w:val="0"/>
          <w:i w:val="0"/>
          <w:caps w:val="0"/>
          <w:color w:val="000000"/>
          <w:spacing w:val="0"/>
          <w:w w:val="100"/>
          <w:kern w:val="2"/>
          <w:sz w:val="30"/>
          <w:szCs w:val="30"/>
          <w:lang w:val="en-US" w:eastAsia="zh-CN"/>
        </w:rPr>
      </w:pPr>
      <w:r>
        <w:rPr>
          <w:rStyle w:val="6"/>
          <w:rFonts w:ascii="仿宋" w:hAnsi="仿宋" w:eastAsia="仿宋"/>
          <w:b w:val="0"/>
          <w:i w:val="0"/>
          <w:caps w:val="0"/>
          <w:color w:val="000000"/>
          <w:spacing w:val="0"/>
          <w:w w:val="100"/>
          <w:kern w:val="2"/>
          <w:sz w:val="30"/>
          <w:szCs w:val="30"/>
          <w:lang w:val="en-US" w:eastAsia="zh-CN"/>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snapToGrid w:val="0"/>
        <w:spacing w:before="0" w:beforeAutospacing="0" w:after="0" w:afterAutospacing="0" w:line="550" w:lineRule="exact"/>
        <w:ind w:firstLine="640" w:firstLineChars="200"/>
        <w:jc w:val="both"/>
        <w:textAlignment w:val="baseline"/>
        <w:rPr>
          <w:rStyle w:val="6"/>
          <w:rFonts w:eastAsia="方正仿宋_GBK"/>
          <w:b w:val="0"/>
          <w:i w:val="0"/>
          <w:caps w:val="0"/>
          <w:spacing w:val="0"/>
          <w:w w:val="100"/>
          <w:sz w:val="32"/>
          <w:lang w:val="en-US" w:eastAsia="zh-CN" w:bidi="ar-SA"/>
        </w:rPr>
      </w:pPr>
    </w:p>
    <w:sectPr>
      <w:pgSz w:w="11906" w:h="16838"/>
      <w:pgMar w:top="1440" w:right="1797" w:bottom="1440" w:left="1797" w:header="851" w:footer="992" w:gutter="0"/>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autoSpaceDE/>
      <w:autoSpaceDN/>
      <w:spacing w:line="240" w:lineRule="auto"/>
      <w:ind w:firstLine="0"/>
      <w:jc w:val="left"/>
      <w:textAlignment w:val="baseline"/>
      <w:rPr>
        <w:rStyle w:val="8"/>
        <w:rFonts w:eastAsia="宋体"/>
        <w:kern w:val="2"/>
        <w:sz w:val="18"/>
        <w:szCs w:val="18"/>
        <w:lang w:val="en-US" w:eastAsia="zh-CN" w:bidi="ar-SA"/>
      </w:rPr>
    </w:pPr>
  </w:p>
  <w:p>
    <w:pPr>
      <w:pStyle w:val="2"/>
      <w:framePr w:wrap="around" w:vAnchor="margin" w:hAnchor="text" w:xAlign="right" w:yAlign="inline"/>
      <w:widowControl/>
      <w:autoSpaceDE/>
      <w:autoSpaceDN/>
      <w:spacing w:line="240" w:lineRule="auto"/>
      <w:ind w:firstLine="0"/>
      <w:jc w:val="left"/>
      <w:textAlignment w:val="baseline"/>
      <w:rPr>
        <w:rStyle w:val="8"/>
        <w:rFonts w:eastAsia="宋体"/>
        <w:kern w:val="2"/>
        <w:sz w:val="18"/>
        <w:szCs w:val="18"/>
        <w:lang w:val="en-US" w:eastAsia="zh-CN" w:bidi="ar-SA"/>
      </w:rPr>
    </w:pPr>
  </w:p>
  <w:p>
    <w:pPr>
      <w:pStyle w:val="2"/>
      <w:widowControl/>
      <w:autoSpaceDE/>
      <w:autoSpaceDN/>
      <w:spacing w:line="240" w:lineRule="auto"/>
      <w:ind w:right="360" w:firstLine="0"/>
      <w:jc w:val="left"/>
      <w:textAlignment w:val="baseline"/>
      <w:rPr>
        <w:rStyle w:val="6"/>
        <w:rFonts w:eastAsia="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autoSpaceDE/>
      <w:autoSpaceDN/>
      <w:spacing w:line="240" w:lineRule="auto"/>
      <w:ind w:firstLine="0"/>
      <w:jc w:val="left"/>
      <w:textAlignment w:val="baseline"/>
      <w:rPr>
        <w:rStyle w:val="8"/>
        <w:rFonts w:eastAsia="宋体"/>
        <w:kern w:val="2"/>
        <w:sz w:val="18"/>
        <w:szCs w:val="18"/>
        <w:lang w:val="en-US" w:eastAsia="zh-CN" w:bidi="ar-SA"/>
      </w:rPr>
    </w:pPr>
  </w:p>
  <w:p>
    <w:pPr>
      <w:pStyle w:val="2"/>
      <w:widowControl/>
      <w:autoSpaceDE/>
      <w:autoSpaceDN/>
      <w:spacing w:line="240" w:lineRule="auto"/>
      <w:ind w:right="360" w:firstLine="0"/>
      <w:jc w:val="left"/>
      <w:textAlignment w:val="baseline"/>
      <w:rPr>
        <w:rStyle w:val="6"/>
        <w:rFonts w:eastAsia="宋体"/>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984C6"/>
    <w:multiLevelType w:val="singleLevel"/>
    <w:tmpl w:val="C25984C6"/>
    <w:lvl w:ilvl="0" w:tentative="0">
      <w:start w:val="1"/>
      <w:numFmt w:val="decimal"/>
      <w:suff w:val="nothing"/>
      <w:lvlText w:val="%1．"/>
      <w:lvlJc w:val="left"/>
      <w:pPr>
        <w:widowControl/>
        <w:textAlignment w:val="baseline"/>
      </w:pPr>
      <w:rPr>
        <w:rStyle w:val="6"/>
      </w:rPr>
    </w:lvl>
  </w:abstractNum>
  <w:abstractNum w:abstractNumId="1">
    <w:nsid w:val="7DDEB935"/>
    <w:multiLevelType w:val="singleLevel"/>
    <w:tmpl w:val="7DDEB935"/>
    <w:lvl w:ilvl="0" w:tentative="0">
      <w:start w:val="2"/>
      <w:numFmt w:val="chineseCounting"/>
      <w:suff w:val="space"/>
      <w:lvlText w:val="第%1部分"/>
      <w:lvlJc w:val="left"/>
      <w:pPr>
        <w:widowControl/>
        <w:textAlignment w:val="baseline"/>
      </w:pPr>
      <w:rPr>
        <w:rStyle w:val="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isplayHorizontalDrawingGridEvery w:val="1"/>
  <w:displayVerticalDrawingGridEvery w:val="1"/>
  <w:doNotUseMarginsForDrawingGridOrigin w:val="1"/>
  <w:drawingGridHorizontalOrigin w:val="1800"/>
  <w:drawingGridVerticalOrigin w:val="1440"/>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45873"/>
    <w:rsid w:val="56D804CC"/>
    <w:rsid w:val="66935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snapToGrid w:val="0"/>
      <w:spacing w:line="590" w:lineRule="atLeast"/>
      <w:ind w:firstLine="624"/>
      <w:jc w:val="both"/>
      <w:textAlignment w:val="baseline"/>
    </w:pPr>
    <w:rPr>
      <w:rFonts w:ascii="Times New Roman" w:hAnsi="Times New Roman" w:eastAsia="方正仿宋_GBK" w:cstheme="minorBidi"/>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autoSpaceDE/>
      <w:autoSpaceDN/>
      <w:snapToGrid w:val="0"/>
      <w:spacing w:line="240" w:lineRule="auto"/>
      <w:ind w:firstLine="0"/>
      <w:jc w:val="left"/>
      <w:textAlignment w:val="baseline"/>
    </w:pPr>
    <w:rPr>
      <w:rFonts w:eastAsia="宋体"/>
      <w:kern w:val="2"/>
      <w:sz w:val="18"/>
      <w:szCs w:val="18"/>
      <w:lang w:val="en-US" w:eastAsia="zh-CN" w:bidi="ar-SA"/>
    </w:rPr>
  </w:style>
  <w:style w:type="paragraph" w:styleId="3">
    <w:name w:val="header"/>
    <w:basedOn w:val="1"/>
    <w:link w:val="10"/>
    <w:qFormat/>
    <w:uiPriority w:val="0"/>
    <w:pPr>
      <w:pBdr>
        <w:bottom w:val="single" w:color="000000" w:sz="6" w:space="1"/>
      </w:pBdr>
      <w:tabs>
        <w:tab w:val="center" w:pos="4153"/>
        <w:tab w:val="right" w:pos="8306"/>
      </w:tabs>
      <w:autoSpaceDE/>
      <w:autoSpaceDN/>
      <w:snapToGrid w:val="0"/>
      <w:spacing w:line="240" w:lineRule="auto"/>
      <w:ind w:firstLine="0"/>
      <w:jc w:val="center"/>
      <w:textAlignment w:val="baseline"/>
    </w:pPr>
    <w:rPr>
      <w:rFonts w:eastAsia="宋体"/>
      <w:kern w:val="2"/>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PageNumber"/>
    <w:basedOn w:val="6"/>
    <w:link w:val="1"/>
    <w:qFormat/>
    <w:uiPriority w:val="0"/>
  </w:style>
  <w:style w:type="character" w:customStyle="1" w:styleId="9">
    <w:name w:val="UserStyle_0"/>
    <w:link w:val="2"/>
    <w:qFormat/>
    <w:uiPriority w:val="0"/>
    <w:rPr>
      <w:rFonts w:ascii="Times New Roman" w:hAnsi="Times New Roman" w:eastAsia="宋体"/>
      <w:kern w:val="2"/>
      <w:sz w:val="18"/>
      <w:szCs w:val="18"/>
    </w:rPr>
  </w:style>
  <w:style w:type="character" w:customStyle="1" w:styleId="10">
    <w:name w:val="UserStyle_1"/>
    <w:link w:val="3"/>
    <w:qFormat/>
    <w:uiPriority w:val="0"/>
    <w:rPr>
      <w:rFonts w:ascii="Times New Roman" w:hAnsi="Times New Roman" w:eastAsia="宋体"/>
      <w:kern w:val="2"/>
      <w:sz w:val="18"/>
      <w:szCs w:val="18"/>
    </w:rPr>
  </w:style>
  <w:style w:type="character" w:customStyle="1" w:styleId="11">
    <w:name w:val="UserStyle_2"/>
    <w:link w:val="12"/>
    <w:semiHidden/>
    <w:qFormat/>
    <w:uiPriority w:val="0"/>
    <w:rPr>
      <w:rFonts w:ascii="Times New Roman" w:hAnsi="Times New Roman" w:eastAsia="宋体"/>
      <w:kern w:val="2"/>
      <w:sz w:val="18"/>
      <w:szCs w:val="18"/>
    </w:rPr>
  </w:style>
  <w:style w:type="paragraph" w:customStyle="1" w:styleId="12">
    <w:name w:val="Acetate"/>
    <w:basedOn w:val="1"/>
    <w:link w:val="11"/>
    <w:qFormat/>
    <w:uiPriority w:val="0"/>
    <w:pPr>
      <w:autoSpaceDE/>
      <w:autoSpaceDN/>
      <w:spacing w:line="240" w:lineRule="auto"/>
      <w:ind w:firstLine="0"/>
      <w:jc w:val="both"/>
      <w:textAlignment w:val="baseline"/>
    </w:pPr>
    <w:rPr>
      <w:rFonts w:eastAsia="宋体"/>
      <w:kern w:val="2"/>
      <w:sz w:val="18"/>
      <w:szCs w:val="18"/>
      <w:lang w:val="en-US" w:eastAsia="zh-CN" w:bidi="ar-SA"/>
    </w:rPr>
  </w:style>
  <w:style w:type="paragraph" w:customStyle="1" w:styleId="13">
    <w:name w:val="179"/>
    <w:basedOn w:val="1"/>
    <w:qFormat/>
    <w:uiPriority w:val="0"/>
    <w:pPr>
      <w:autoSpaceDE/>
      <w:autoSpaceDN/>
      <w:spacing w:line="240" w:lineRule="auto"/>
      <w:ind w:firstLine="420" w:firstLineChars="200"/>
      <w:jc w:val="both"/>
      <w:textAlignment w:val="baseline"/>
    </w:pPr>
    <w:rPr>
      <w:rFonts w:ascii="Cambria" w:hAnsi="Cambria" w:eastAsia="宋体"/>
      <w:kern w:val="2"/>
      <w:sz w:val="24"/>
      <w:szCs w:val="24"/>
      <w:lang w:val="en-US" w:eastAsia="zh-CN" w:bidi="ar-SA"/>
    </w:rPr>
  </w:style>
  <w:style w:type="paragraph" w:customStyle="1" w:styleId="14">
    <w:name w:val="UserStyle_3"/>
    <w:basedOn w:val="1"/>
    <w:qFormat/>
    <w:uiPriority w:val="0"/>
    <w:pPr>
      <w:snapToGrid w:val="0"/>
      <w:spacing w:line="590" w:lineRule="atLeast"/>
      <w:ind w:firstLine="624"/>
      <w:jc w:val="both"/>
      <w:textAlignment w:val="baseline"/>
    </w:pPr>
  </w:style>
  <w:style w:type="paragraph" w:customStyle="1" w:styleId="15">
    <w:name w:val="UserStyle_4"/>
    <w:basedOn w:val="1"/>
    <w:next w:val="1"/>
    <w:uiPriority w:val="0"/>
    <w:pPr>
      <w:tabs>
        <w:tab w:val="left" w:pos="9193"/>
        <w:tab w:val="left" w:pos="9827"/>
      </w:tabs>
      <w:snapToGrid w:val="0"/>
      <w:spacing w:line="700" w:lineRule="atLeast"/>
      <w:ind w:firstLine="0"/>
      <w:jc w:val="center"/>
      <w:textAlignment w:val="baseline"/>
    </w:pPr>
    <w:rPr>
      <w:rFonts w:eastAsia="方正小标宋_GBK"/>
      <w:sz w:val="44"/>
      <w:lang w:val="en-US" w:eastAsia="zh-CN" w:bidi="ar-SA"/>
    </w:rPr>
  </w:style>
  <w:style w:type="table" w:customStyle="1" w:styleId="16">
    <w:name w:val="TableGrid"/>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4628</Words>
  <Characters>5055</Characters>
  <TotalTime>3</TotalTime>
  <ScaleCrop>false</ScaleCrop>
  <LinksUpToDate>false</LinksUpToDate>
  <CharactersWithSpaces>5252</CharactersWithSpaces>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2021-09-15T03:01:00Z</dcterms:created>
  <dc:creator>Administrator</dc:creator>
  <cp:lastModifiedBy>Almost</cp:lastModifiedBy>
  <dcterms:modified xsi:type="dcterms:W3CDTF">2022-04-11T07:23:59Z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F054E0C3F810499BA3021BFD239F864E</vt:lpwstr>
  </property>
</Properties>
</file>