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动物疫病预防控制中心</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ind w:firstLine="600"/>
        <w:rPr>
          <w:rFonts w:ascii="仿宋" w:hAnsi="仿宋" w:eastAsia="仿宋" w:cs="仿宋"/>
          <w:sz w:val="30"/>
          <w:szCs w:val="30"/>
        </w:rPr>
      </w:pPr>
      <w:r>
        <w:rPr>
          <w:rFonts w:hint="eastAsia" w:ascii="仿宋" w:hAnsi="仿宋" w:eastAsia="仿宋" w:cs="仿宋"/>
          <w:sz w:val="30"/>
          <w:szCs w:val="30"/>
        </w:rPr>
        <w:t>（1）认真贯彻执行《中华人民共和国动物防疫法》和《山西省动物防疫条例》及其配套法律、法规。</w:t>
      </w:r>
    </w:p>
    <w:p>
      <w:pPr>
        <w:ind w:firstLine="600"/>
        <w:rPr>
          <w:rFonts w:ascii="仿宋" w:hAnsi="仿宋" w:eastAsia="仿宋" w:cs="仿宋"/>
          <w:sz w:val="30"/>
          <w:szCs w:val="30"/>
        </w:rPr>
      </w:pPr>
      <w:r>
        <w:rPr>
          <w:rFonts w:hint="eastAsia" w:ascii="仿宋" w:hAnsi="仿宋" w:eastAsia="仿宋" w:cs="仿宋"/>
          <w:sz w:val="30"/>
          <w:szCs w:val="30"/>
        </w:rPr>
        <w:t>（2）负责制定全县重大动物疫病防控方案，并组织实施。</w:t>
      </w:r>
    </w:p>
    <w:p>
      <w:pPr>
        <w:ind w:firstLine="600"/>
        <w:rPr>
          <w:rFonts w:ascii="仿宋" w:hAnsi="仿宋" w:eastAsia="仿宋" w:cs="仿宋"/>
          <w:sz w:val="30"/>
          <w:szCs w:val="30"/>
        </w:rPr>
      </w:pPr>
      <w:r>
        <w:rPr>
          <w:rFonts w:hint="eastAsia" w:ascii="仿宋" w:hAnsi="仿宋" w:eastAsia="仿宋" w:cs="仿宋"/>
          <w:sz w:val="30"/>
          <w:szCs w:val="30"/>
        </w:rPr>
        <w:t>（3）负责动物疫(疾)病治疗，化验(检验)，流行病学调查，疫情监测及预报。</w:t>
      </w:r>
    </w:p>
    <w:p>
      <w:pPr>
        <w:ind w:firstLine="600"/>
        <w:rPr>
          <w:rFonts w:ascii="仿宋" w:hAnsi="仿宋" w:eastAsia="仿宋" w:cs="仿宋"/>
          <w:sz w:val="30"/>
          <w:szCs w:val="30"/>
        </w:rPr>
      </w:pPr>
      <w:r>
        <w:rPr>
          <w:rFonts w:hint="eastAsia" w:ascii="仿宋" w:hAnsi="仿宋" w:eastAsia="仿宋" w:cs="仿宋"/>
          <w:sz w:val="30"/>
          <w:szCs w:val="30"/>
        </w:rPr>
        <w:t>（4）负责兽医公共卫生应急事件调查处理等技术工作。</w:t>
      </w:r>
    </w:p>
    <w:p>
      <w:pPr>
        <w:ind w:firstLine="600"/>
        <w:rPr>
          <w:rFonts w:ascii="仿宋" w:hAnsi="仿宋" w:eastAsia="仿宋" w:cs="仿宋"/>
          <w:sz w:val="30"/>
          <w:szCs w:val="30"/>
        </w:rPr>
      </w:pPr>
      <w:r>
        <w:rPr>
          <w:rFonts w:hint="eastAsia" w:ascii="仿宋" w:hAnsi="仿宋" w:eastAsia="仿宋" w:cs="仿宋"/>
          <w:sz w:val="30"/>
          <w:szCs w:val="30"/>
        </w:rPr>
        <w:t>（5）负责生物制品的采购和供应以及扑灭动物疫病所需物资保障。</w:t>
      </w:r>
    </w:p>
    <w:p>
      <w:pPr>
        <w:ind w:firstLine="600"/>
        <w:rPr>
          <w:rFonts w:ascii="仿宋" w:hAnsi="仿宋" w:eastAsia="仿宋" w:cs="仿宋"/>
          <w:sz w:val="30"/>
          <w:szCs w:val="30"/>
        </w:rPr>
      </w:pPr>
      <w:r>
        <w:rPr>
          <w:rFonts w:hint="eastAsia" w:ascii="仿宋" w:hAnsi="仿宋" w:eastAsia="仿宋" w:cs="仿宋"/>
          <w:sz w:val="30"/>
          <w:szCs w:val="30"/>
        </w:rPr>
        <w:t>（6）负责动物防疫人员业务培训。</w:t>
      </w:r>
    </w:p>
    <w:p>
      <w:pPr>
        <w:ind w:firstLine="600"/>
        <w:rPr>
          <w:rFonts w:ascii="仿宋" w:hAnsi="仿宋" w:eastAsia="仿宋" w:cs="仿宋"/>
          <w:sz w:val="30"/>
          <w:szCs w:val="30"/>
        </w:rPr>
      </w:pPr>
      <w:r>
        <w:rPr>
          <w:rFonts w:hint="eastAsia" w:ascii="仿宋" w:hAnsi="仿宋" w:eastAsia="仿宋" w:cs="仿宋"/>
          <w:sz w:val="30"/>
          <w:szCs w:val="30"/>
        </w:rPr>
        <w:t>（7）负责动物防疫信息的收集、上报和防控技术推广、普及工作。</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二、部门基本情况</w:t>
      </w:r>
    </w:p>
    <w:p>
      <w:pPr>
        <w:widowControl/>
        <w:spacing w:line="324" w:lineRule="atLeast"/>
        <w:ind w:left="540"/>
        <w:jc w:val="left"/>
        <w:rPr>
          <w:rFonts w:ascii="仿宋_GB2312" w:hAnsi="楷体" w:eastAsia="仿宋_GB2312" w:cs="宋体"/>
          <w:bCs/>
          <w:color w:val="333333"/>
          <w:kern w:val="0"/>
          <w:sz w:val="18"/>
          <w:szCs w:val="18"/>
        </w:rPr>
      </w:pPr>
      <w:r>
        <w:rPr>
          <w:rFonts w:hint="eastAsia" w:ascii="仿宋_GB2312" w:hAnsi="楷体" w:eastAsia="仿宋_GB2312" w:cs="宋体"/>
          <w:bCs/>
          <w:color w:val="333333"/>
          <w:kern w:val="0"/>
          <w:sz w:val="32"/>
          <w:szCs w:val="32"/>
        </w:rPr>
        <w:t>（一）机构设置情况</w:t>
      </w:r>
    </w:p>
    <w:p>
      <w:pPr>
        <w:ind w:firstLine="645"/>
        <w:rPr>
          <w:rFonts w:ascii="仿宋" w:hAnsi="仿宋" w:eastAsia="仿宋" w:cs="仿宋_GB2312"/>
          <w:color w:val="5B9BD5" w:themeColor="accent1"/>
          <w:sz w:val="30"/>
          <w:szCs w:val="30"/>
        </w:rPr>
      </w:pPr>
      <w:r>
        <w:rPr>
          <w:rFonts w:hint="eastAsia" w:ascii="仿宋" w:hAnsi="仿宋" w:eastAsia="仿宋" w:cs="仿宋_GB2312"/>
          <w:color w:val="5B9BD5" w:themeColor="accent1"/>
          <w:sz w:val="30"/>
          <w:szCs w:val="30"/>
        </w:rPr>
        <w:t xml:space="preserve">襄垣县动物疫病预防控制中心设4个股室分别为：办公室、财务室、化验室、物资和疫苗储藏室。  </w:t>
      </w:r>
    </w:p>
    <w:p>
      <w:pPr>
        <w:widowControl/>
        <w:spacing w:line="324" w:lineRule="atLeast"/>
        <w:ind w:left="540"/>
        <w:jc w:val="left"/>
        <w:rPr>
          <w:rFonts w:ascii="仿宋_GB2312" w:hAnsi="楷体" w:eastAsia="仿宋_GB2312" w:cs="宋体"/>
          <w:bCs/>
          <w:color w:val="333333"/>
          <w:kern w:val="0"/>
          <w:sz w:val="32"/>
          <w:szCs w:val="32"/>
        </w:rPr>
      </w:pPr>
      <w:r>
        <w:rPr>
          <w:rFonts w:hint="eastAsia" w:ascii="仿宋_GB2312" w:hAnsi="楷体" w:eastAsia="仿宋_GB2312" w:cs="宋体"/>
          <w:bCs/>
          <w:color w:val="333333"/>
          <w:kern w:val="0"/>
          <w:sz w:val="32"/>
          <w:szCs w:val="32"/>
        </w:rPr>
        <w:t>（二）人员情况说明</w:t>
      </w:r>
    </w:p>
    <w:p>
      <w:pPr>
        <w:ind w:firstLine="645"/>
        <w:rPr>
          <w:rFonts w:ascii="仿宋_GB2312" w:hAnsi="仿宋" w:eastAsia="仿宋_GB2312" w:cstheme="minorEastAsia"/>
          <w:color w:val="5B9BD5" w:themeColor="accent1"/>
          <w:sz w:val="32"/>
          <w:szCs w:val="32"/>
        </w:rPr>
      </w:pPr>
      <w:r>
        <w:rPr>
          <w:rFonts w:hint="eastAsia" w:ascii="仿宋" w:hAnsi="仿宋" w:eastAsia="仿宋" w:cs="仿宋_GB2312"/>
          <w:color w:val="5B9BD5" w:themeColor="accent1"/>
          <w:sz w:val="32"/>
          <w:szCs w:val="32"/>
        </w:rPr>
        <w:t>现有事业编制8名，实有5人。事业人员5人。</w:t>
      </w:r>
    </w:p>
    <w:p>
      <w:pPr>
        <w:ind w:firstLine="640" w:firstLineChars="200"/>
        <w:rPr>
          <w:rFonts w:ascii="黑体" w:hAnsi="黑体" w:eastAsia="黑体" w:cstheme="minorEastAsia"/>
          <w:color w:val="C00000"/>
          <w:sz w:val="32"/>
          <w:szCs w:val="32"/>
        </w:rPr>
      </w:pPr>
      <w:r>
        <w:rPr>
          <w:rFonts w:hint="eastAsia" w:ascii="黑体" w:hAnsi="黑体" w:eastAsia="黑体" w:cstheme="minorEastAsia"/>
          <w:sz w:val="32"/>
          <w:szCs w:val="32"/>
        </w:rPr>
        <w:t>三、预算收支增减变化情况说明</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襄垣县动物疫病预防控制中心2020年度收入、支出预算总计52.53万元，与上年相比收、支预算总计各减少20.56万元，减少28.13%。主要原因是人员减少，根据规定，厉行节约，压缩开支。其中：</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（一）收入预算总计 52.53万元。包括：</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1．财政拨款收入预算总计52.53万元。</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（1）一般公共预算收入预算52.53万元，与上年相比减少20.56万元，减少28.13%。主要原因是人员减少，根据规定，厉行节约，压缩开支等原因。</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（2）政府性基金收入预算，本单位本年度无此项预算，故无此项说明情况。</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2．财政专户管理资金收入预算，本单位本年度无此项预算，故无此项说明情况。</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3．其他资金收入预算，本单位本年度无此项预算，故无此项说明情况。</w:t>
      </w:r>
    </w:p>
    <w:p>
      <w:pPr>
        <w:ind w:firstLine="640" w:firstLineChars="200"/>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4．上年结转资金预算，本单位本年度无此项预算，故无此项说明情况。</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（二）支出预算总计52.53万元。包括：</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1．一般公共服务（类）支出39.73万元，主要用于人员工资和办公经费开支。与上年相比减少13.42万元，减少25.25%。主要原因是人员减少，根据规定，厉行节约，压缩开支。</w:t>
      </w:r>
    </w:p>
    <w:p>
      <w:pPr>
        <w:ind w:firstLine="645"/>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2．公共安全（类）支出12.8万元，主要用于养老、医保、住房公积金等。与上年相比减少7.15万元，减少35.84 %。主要原因是人员减少。</w:t>
      </w:r>
    </w:p>
    <w:p>
      <w:pPr>
        <w:ind w:firstLine="640" w:firstLineChars="200"/>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3．结转下年资金预算，本单位本年度无此项预算，故无此项说明情况。</w:t>
      </w:r>
    </w:p>
    <w:p>
      <w:pPr>
        <w:ind w:firstLine="640" w:firstLineChars="200"/>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项目支出预算，本单位本年度无此项预算，故无此项说明情况。</w:t>
      </w:r>
    </w:p>
    <w:p>
      <w:pPr>
        <w:ind w:firstLine="640" w:firstLineChars="200"/>
        <w:rPr>
          <w:rFonts w:ascii="仿宋" w:hAnsi="仿宋" w:eastAsia="仿宋" w:cs="仿宋_GB2312"/>
          <w:color w:val="5B9BD5" w:themeColor="accent1"/>
          <w:sz w:val="32"/>
          <w:szCs w:val="32"/>
        </w:rPr>
      </w:pPr>
      <w:r>
        <w:rPr>
          <w:rFonts w:hint="eastAsia" w:ascii="仿宋" w:hAnsi="仿宋" w:eastAsia="仿宋" w:cs="仿宋_GB2312"/>
          <w:color w:val="5B9BD5" w:themeColor="accent1"/>
          <w:sz w:val="32"/>
          <w:szCs w:val="32"/>
        </w:rPr>
        <w:t>单位预留机动经费预算，本单位本年度无此项预算，故无此项说明情况。</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四、机关运行经费安排情况说明</w:t>
      </w:r>
    </w:p>
    <w:p>
      <w:pPr>
        <w:ind w:firstLine="640" w:firstLineChars="200"/>
        <w:rPr>
          <w:rFonts w:ascii="仿宋_GB2312" w:eastAsia="仿宋_GB2312" w:hAnsiTheme="minorEastAsia" w:cstheme="minorEastAsia"/>
          <w:color w:val="5B9BD5" w:themeColor="accent1"/>
          <w:sz w:val="32"/>
          <w:szCs w:val="32"/>
        </w:rPr>
      </w:pPr>
      <w:r>
        <w:rPr>
          <w:rFonts w:hint="eastAsia" w:ascii="仿宋_GB2312" w:eastAsia="仿宋_GB2312" w:hAnsiTheme="minorEastAsia" w:cstheme="minorEastAsia"/>
          <w:color w:val="5B9BD5" w:themeColor="accent1"/>
          <w:sz w:val="32"/>
          <w:szCs w:val="32"/>
        </w:rPr>
        <w:t>本单位机关运行经费支出预算数为2万元，较2019年增加1万元，其中：办公费支出0.97万元、印刷费支出0.16万元、差旅费支出0.35万元等。主要增减变化情况：办公费减少。</w:t>
      </w:r>
    </w:p>
    <w:p>
      <w:pPr>
        <w:ind w:firstLine="640" w:firstLineChars="200"/>
        <w:rPr>
          <w:rFonts w:ascii="楷体" w:hAnsi="楷体" w:eastAsia="楷体" w:cstheme="minorEastAsia"/>
          <w:bCs/>
          <w:sz w:val="32"/>
          <w:szCs w:val="32"/>
        </w:rPr>
      </w:pPr>
      <w:r>
        <w:rPr>
          <w:rFonts w:hint="eastAsia" w:ascii="仿宋_GB2312" w:eastAsia="仿宋_GB2312" w:hAnsiTheme="minorEastAsia" w:cstheme="minorEastAsia"/>
          <w:sz w:val="32"/>
          <w:szCs w:val="32"/>
        </w:rPr>
        <w:t>五、</w:t>
      </w:r>
      <w:r>
        <w:rPr>
          <w:rFonts w:hint="eastAsia" w:ascii="楷体" w:hAnsi="楷体" w:eastAsia="楷体" w:cstheme="minorEastAsia"/>
          <w:bCs/>
          <w:sz w:val="32"/>
          <w:szCs w:val="32"/>
        </w:rPr>
        <w:t>政府采购安排情况说明</w:t>
      </w:r>
    </w:p>
    <w:p>
      <w:pPr>
        <w:ind w:firstLine="640" w:firstLineChars="200"/>
        <w:rPr>
          <w:rFonts w:ascii="仿宋" w:hAnsi="仿宋" w:eastAsia="仿宋" w:cs="仿宋_GB2312"/>
          <w:color w:val="5B9BD5" w:themeColor="accent1"/>
          <w:sz w:val="32"/>
          <w:szCs w:val="32"/>
        </w:rPr>
      </w:pPr>
      <w:r>
        <w:rPr>
          <w:rFonts w:hint="eastAsia" w:ascii="仿宋" w:hAnsi="仿宋" w:eastAsia="仿宋" w:cstheme="minorEastAsia"/>
          <w:color w:val="5B9BD5" w:themeColor="accent1"/>
          <w:sz w:val="32"/>
          <w:szCs w:val="32"/>
        </w:rPr>
        <w:t>本部门2020年度政府采购</w:t>
      </w:r>
      <w:r>
        <w:rPr>
          <w:rFonts w:hint="eastAsia" w:ascii="仿宋" w:hAnsi="仿宋" w:eastAsia="仿宋" w:cs="仿宋_GB2312"/>
          <w:color w:val="5B9BD5" w:themeColor="accent1"/>
          <w:sz w:val="32"/>
          <w:szCs w:val="32"/>
        </w:rPr>
        <w:t>本单位本年度无此项预算，故无此项说明情况。</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六、对专业性较强的名词进行解释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（一）财政拨款收入：指单位本年度从本级财政部门取得的财政拨款，包括一般公共预算财政拨款和政府性基金预算财政拨款。</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（二）上级补助收入：指事业单位从主管部门和上级单位取得的非财政补助收入。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（四）经营收入：指事业单位在专业业务活动及其辅助活动之外开展非独立核算经营活动取得的收入。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（五）附属单位缴款：指事业单位附属独立核算单位按照有关规定上缴的收入。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（六）其他收入：指单位取得的除上述“财政拨款收入”、“事业收入”、“经营收入”、“附属单位缴款”等以外的各项收入。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（七）用事业基金弥补收支差额：指事业单位用事业基金弥补当年收支差额的数额。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（八）年初结转和结余：指单位上年结转本年使用的基本支出结转、项目支出结转和结余和经营结余。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（十一）基本支出：指为保障机构正常运转、完成日常工作任务而发生的人员支出和公用支出。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（十二）项目支出：指在基本支出之外为完成特定的行政任务或事业发展目标所发生的支出。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（十三）上缴上级支出：指事业单位按照财政部门和主管部门的规定上缴上级单位的支出。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（十四）经营支出：指事业单位在专业业务活动及其辅助活动之外开展非独立核算经营活动发生的支出。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（十五）对附属单位补助支出：指事业单位用财政补助收入之外的收入对附属单位补助发生的支出。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七、国有资产占用情况说明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2.24</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5.62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w:t>
      </w:r>
      <w:bookmarkStart w:id="0" w:name="_GoBack"/>
      <w:bookmarkEnd w:id="0"/>
      <w:r>
        <w:rPr>
          <w:rFonts w:hint="eastAsia" w:ascii="仿宋_GB2312" w:hAnsi="仿宋_GB2312" w:eastAsia="仿宋_GB2312" w:cs="仿宋_GB2312"/>
          <w:color w:val="auto"/>
          <w:sz w:val="32"/>
          <w:szCs w:val="32"/>
          <w:shd w:val="clear" w:color="auto" w:fill="FFFFFF"/>
        </w:rPr>
        <w:t>资产当中，房屋构筑物</w:t>
      </w:r>
      <w:r>
        <w:rPr>
          <w:rFonts w:hint="eastAsia" w:ascii="仿宋_GB2312" w:hAnsi="仿宋_GB2312" w:eastAsia="仿宋_GB2312" w:cs="仿宋_GB2312"/>
          <w:color w:val="auto"/>
          <w:sz w:val="32"/>
          <w:szCs w:val="32"/>
          <w:shd w:val="clear" w:color="auto" w:fill="FFFFFF"/>
          <w:lang w:val="en-US" w:eastAsia="zh-CN"/>
        </w:rPr>
        <w:t>2.34</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1</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1.79</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1.49</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与上年相比，本年资产总额增加</w:t>
      </w:r>
      <w:r>
        <w:rPr>
          <w:rFonts w:hint="eastAsia" w:ascii="仿宋_GB2312" w:hAnsi="仿宋_GB2312" w:eastAsia="仿宋_GB2312" w:cs="仿宋_GB2312"/>
          <w:color w:val="auto"/>
          <w:sz w:val="32"/>
          <w:szCs w:val="32"/>
          <w:shd w:val="clear" w:color="auto" w:fill="FFFFFF"/>
          <w:lang w:val="en-US" w:eastAsia="zh-CN"/>
        </w:rPr>
        <w:t>0</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楷体" w:hAnsi="楷体" w:eastAsia="楷体" w:cstheme="minorEastAsia"/>
          <w:bCs/>
          <w:sz w:val="32"/>
          <w:szCs w:val="32"/>
        </w:rPr>
      </w:pPr>
      <w:r>
        <w:rPr>
          <w:rFonts w:hint="eastAsia" w:ascii="楷体" w:hAnsi="楷体" w:eastAsia="楷体" w:cstheme="minorEastAsia"/>
          <w:bCs/>
          <w:sz w:val="32"/>
          <w:szCs w:val="32"/>
        </w:rPr>
        <w:t>八、重点项目预算的绩效目标等预算绩效情况说明</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本单位本年度无项目支出预算，无此项说明。</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九、一般公共预算“三公”经费支出增减变化原因等说明</w:t>
      </w:r>
    </w:p>
    <w:p>
      <w:pPr>
        <w:ind w:firstLine="640" w:firstLineChars="200"/>
        <w:rPr>
          <w:rFonts w:ascii="仿宋_GB2312" w:eastAsia="仿宋_GB2312" w:hAnsiTheme="minorEastAsia" w:cstheme="minorEastAsia"/>
          <w:color w:val="5B9BD5" w:themeColor="accent1"/>
          <w:sz w:val="32"/>
          <w:szCs w:val="32"/>
        </w:rPr>
      </w:pPr>
      <w:r>
        <w:rPr>
          <w:rFonts w:hint="eastAsia" w:ascii="仿宋_GB2312" w:eastAsia="仿宋_GB2312" w:hAnsiTheme="minorEastAsia" w:cstheme="minorEastAsia"/>
          <w:color w:val="5B9BD5" w:themeColor="accent1"/>
          <w:sz w:val="32"/>
          <w:szCs w:val="32"/>
        </w:rPr>
        <w:t>本部门2020年度一般公共预算“三公”经费预算数为0.05 万元，较2019年增加00.5万元，增长100%，其中：</w:t>
      </w:r>
    </w:p>
    <w:p>
      <w:pPr>
        <w:ind w:firstLine="640" w:firstLineChars="200"/>
        <w:rPr>
          <w:rFonts w:hint="eastAsia" w:ascii="仿宋_GB2312" w:hAnsi="仿宋" w:eastAsia="仿宋_GB2312" w:cs="仿宋_GB2312"/>
          <w:color w:val="5B9BD5" w:themeColor="accent1"/>
          <w:sz w:val="32"/>
          <w:szCs w:val="32"/>
        </w:rPr>
      </w:pPr>
      <w:r>
        <w:rPr>
          <w:rFonts w:hint="eastAsia" w:ascii="仿宋_GB2312" w:hAnsi="仿宋" w:eastAsia="仿宋_GB2312" w:cstheme="minorEastAsia"/>
          <w:color w:val="5B9BD5" w:themeColor="accent1"/>
          <w:sz w:val="32"/>
          <w:szCs w:val="32"/>
        </w:rPr>
        <w:t>（一）因公出国（境）支出年初预算，</w:t>
      </w:r>
      <w:r>
        <w:rPr>
          <w:rFonts w:hint="eastAsia" w:ascii="仿宋_GB2312" w:hAnsi="仿宋" w:eastAsia="仿宋_GB2312" w:cs="仿宋_GB2312"/>
          <w:color w:val="5B9BD5" w:themeColor="accent1"/>
          <w:sz w:val="32"/>
          <w:szCs w:val="32"/>
        </w:rPr>
        <w:t>本单位本年度无此项预算，故无此项说明情况。</w:t>
      </w:r>
    </w:p>
    <w:p>
      <w:pPr>
        <w:ind w:firstLine="480" w:firstLineChars="150"/>
        <w:rPr>
          <w:rFonts w:ascii="仿宋_GB2312" w:eastAsia="仿宋_GB2312" w:hAnsiTheme="minorEastAsia" w:cstheme="minorEastAsia"/>
          <w:color w:val="5B9BD5" w:themeColor="accent1"/>
          <w:sz w:val="32"/>
          <w:szCs w:val="32"/>
        </w:rPr>
      </w:pPr>
      <w:r>
        <w:rPr>
          <w:rFonts w:hint="eastAsia" w:ascii="仿宋_GB2312" w:eastAsia="仿宋_GB2312" w:hAnsiTheme="minorEastAsia" w:cstheme="minorEastAsia"/>
          <w:color w:val="5B9BD5" w:themeColor="accent1"/>
          <w:sz w:val="32"/>
          <w:szCs w:val="32"/>
        </w:rPr>
        <w:t>（二）公务接待费支出年初预算数为0.05万元，较2018年增加0.05万元，增长100 %。主要原因是：去年无此项预算。</w:t>
      </w:r>
    </w:p>
    <w:p>
      <w:pPr>
        <w:ind w:firstLine="640" w:firstLineChars="200"/>
        <w:rPr>
          <w:rFonts w:hint="eastAsia" w:ascii="仿宋_GB2312" w:hAnsi="仿宋" w:eastAsia="仿宋_GB2312" w:cs="仿宋_GB2312"/>
          <w:color w:val="5B9BD5" w:themeColor="accent1"/>
          <w:sz w:val="32"/>
          <w:szCs w:val="32"/>
        </w:rPr>
      </w:pPr>
      <w:r>
        <w:rPr>
          <w:rFonts w:hint="eastAsia" w:ascii="仿宋_GB2312" w:eastAsia="仿宋_GB2312" w:hAnsiTheme="minorEastAsia" w:cstheme="minorEastAsia"/>
          <w:color w:val="5B9BD5" w:themeColor="accent1"/>
          <w:sz w:val="32"/>
          <w:szCs w:val="32"/>
        </w:rPr>
        <w:t>（三）公务用车购置及运行维护费，</w:t>
      </w:r>
      <w:r>
        <w:rPr>
          <w:rFonts w:hint="eastAsia" w:ascii="仿宋_GB2312" w:hAnsi="仿宋" w:eastAsia="仿宋_GB2312" w:cs="仿宋_GB2312"/>
          <w:color w:val="5B9BD5" w:themeColor="accent1"/>
          <w:sz w:val="32"/>
          <w:szCs w:val="32"/>
        </w:rPr>
        <w:t>本单位本年度无此项预算，故无此项说明情况。</w:t>
      </w:r>
    </w:p>
    <w:p>
      <w:pPr>
        <w:ind w:firstLine="640" w:firstLineChars="200"/>
        <w:rPr>
          <w:rFonts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ascii="仿宋_GB2312" w:eastAsia="仿宋_GB2312" w:hAnsiTheme="minorEastAsia" w:cstheme="minorEastAsia"/>
          <w:color w:val="5B9BD5" w:themeColor="accent1"/>
          <w:sz w:val="32"/>
          <w:szCs w:val="32"/>
        </w:rPr>
      </w:pPr>
      <w:r>
        <w:rPr>
          <w:rFonts w:hint="eastAsia" w:ascii="仿宋_GB2312" w:eastAsia="仿宋_GB2312" w:hAnsiTheme="minorEastAsia" w:cstheme="minorEastAsia"/>
          <w:color w:val="5B9BD5" w:themeColor="accent1"/>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ascii="仿宋_GB2312" w:eastAsia="仿宋_GB2312" w:hAnsiTheme="minorEastAsia" w:cstheme="minorEastAsia"/>
          <w:color w:val="5B9BD5" w:themeColor="accent1"/>
          <w:sz w:val="32"/>
          <w:szCs w:val="32"/>
        </w:rPr>
      </w:pPr>
      <w:r>
        <w:rPr>
          <w:rFonts w:hint="eastAsia" w:ascii="仿宋_GB2312" w:eastAsia="仿宋_GB2312" w:hAnsiTheme="minorEastAsia" w:cstheme="minorEastAsia"/>
          <w:color w:val="5B9BD5" w:themeColor="accent1"/>
          <w:sz w:val="32"/>
          <w:szCs w:val="32"/>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1019D"/>
    <w:rsid w:val="000A0F2D"/>
    <w:rsid w:val="0011026C"/>
    <w:rsid w:val="00121209"/>
    <w:rsid w:val="001330DE"/>
    <w:rsid w:val="001C0185"/>
    <w:rsid w:val="001F12BE"/>
    <w:rsid w:val="002A78F3"/>
    <w:rsid w:val="002B74C9"/>
    <w:rsid w:val="003343CB"/>
    <w:rsid w:val="00356142"/>
    <w:rsid w:val="00481790"/>
    <w:rsid w:val="005F2480"/>
    <w:rsid w:val="00643BE9"/>
    <w:rsid w:val="00696E76"/>
    <w:rsid w:val="006D6D30"/>
    <w:rsid w:val="00751A1A"/>
    <w:rsid w:val="00760ADC"/>
    <w:rsid w:val="007634B0"/>
    <w:rsid w:val="007A248C"/>
    <w:rsid w:val="00835152"/>
    <w:rsid w:val="008524E1"/>
    <w:rsid w:val="008934C9"/>
    <w:rsid w:val="008C542A"/>
    <w:rsid w:val="008D5CA9"/>
    <w:rsid w:val="00932ED6"/>
    <w:rsid w:val="009436C0"/>
    <w:rsid w:val="009B6471"/>
    <w:rsid w:val="00A61D97"/>
    <w:rsid w:val="00B84099"/>
    <w:rsid w:val="00BD7E57"/>
    <w:rsid w:val="00C91007"/>
    <w:rsid w:val="00CC30DB"/>
    <w:rsid w:val="00CF14FA"/>
    <w:rsid w:val="00D25442"/>
    <w:rsid w:val="00D71496"/>
    <w:rsid w:val="00E74F60"/>
    <w:rsid w:val="014A06B6"/>
    <w:rsid w:val="01742A72"/>
    <w:rsid w:val="01DA336E"/>
    <w:rsid w:val="05E42E29"/>
    <w:rsid w:val="061E09E3"/>
    <w:rsid w:val="06A43BA7"/>
    <w:rsid w:val="087A6196"/>
    <w:rsid w:val="0C5A5250"/>
    <w:rsid w:val="0C64513E"/>
    <w:rsid w:val="0DE649EC"/>
    <w:rsid w:val="0EE25EB1"/>
    <w:rsid w:val="10CB3E8D"/>
    <w:rsid w:val="11F35FF2"/>
    <w:rsid w:val="141D66F1"/>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A18E7-81F0-4C58-94A8-7DAEF479EC76}">
  <ds:schemaRefs/>
</ds:datastoreItem>
</file>

<file path=docProps/app.xml><?xml version="1.0" encoding="utf-8"?>
<Properties xmlns="http://schemas.openxmlformats.org/officeDocument/2006/extended-properties" xmlns:vt="http://schemas.openxmlformats.org/officeDocument/2006/docPropsVTypes">
  <Template>Normal</Template>
  <Pages>7</Pages>
  <Words>2422</Words>
  <Characters>194</Characters>
  <Lines>1</Lines>
  <Paragraphs>5</Paragraphs>
  <TotalTime>0</TotalTime>
  <ScaleCrop>false</ScaleCrop>
  <LinksUpToDate>false</LinksUpToDate>
  <CharactersWithSpaces>2611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2021-06-03T08:00:50Z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