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lang w:eastAsia="zh-CN"/>
        </w:rPr>
        <w:t>长治市襄垣富阳循环经济工业区办事处</w:t>
      </w: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bookmarkStart w:id="0" w:name="_GoBack"/>
      <w:bookmarkEnd w:id="0"/>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全区总规划面积30.67平方公里。地理位置优越，太焦铁路、208国道和古韩大道横穿全境。主要以襄矿能源投资集团为骨干企业，发展煤电化、煤化工循环产业链条。分循环经济产业区、机械加工制造新材料区、高新技术产业区、高新农业区、仓储物流区、配套生活区、金鑫襄子文化产业园七大功能区进行总体规划。</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单位内部设四个科室：办公室、党建和社会事务工作科、产业发展科、规划建设科；辖区有1个良种场、1个农牧场。。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现有事业编制22名，实有17人。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富阳工业区办事处2020年度收入、支出预算总计291.01万元，与上年相比收、支预算总计各减少27.94万元，减少8.76 %。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291.01万元。包括：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1．财政拨款收入预算总计291.01万元。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（1）一般公共预算收入预算291.01万元，与上年相比减少27.94 万元，减少8.76 %。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其他资金收入预算总计0万元。与上年相比增加（减少）  万元，增长（减少）0 %。0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 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（二）支出预算总计291.01万元。包括：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291.01万元。与上年相比减少27.94万元，减少8.76 %。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此外，基本支出预算数为291.01万元。与上年相比减少27.94 万元，减少8.76 %。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项目支出预算数为0万元。与上年相比增加（减少） </w:t>
      </w:r>
    </w:p>
    <w:p>
      <w:pPr>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 万元，增长（减少）0 %。</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105万元，较2019年减少30.37万元，其中：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9.69万元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6万元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主要增减变化情况：减少取暖费。</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shd w:val="clear" w:color="auto" w:fill="FFFFFF"/>
        </w:rPr>
        <w:t>截止201</w:t>
      </w:r>
      <w:r>
        <w:rPr>
          <w:rFonts w:hint="eastAsia" w:ascii="仿宋_GB2312" w:hAnsi="仿宋_GB2312" w:eastAsia="仿宋_GB2312" w:cs="仿宋_GB2312"/>
          <w:color w:val="auto"/>
          <w:sz w:val="32"/>
          <w:szCs w:val="32"/>
          <w:u w:val="none"/>
          <w:shd w:val="clear" w:color="auto" w:fill="FFFFFF"/>
          <w:lang w:val="en-US" w:eastAsia="zh-CN"/>
        </w:rPr>
        <w:t>9</w:t>
      </w:r>
      <w:r>
        <w:rPr>
          <w:rFonts w:hint="eastAsia" w:ascii="仿宋_GB2312" w:hAnsi="仿宋_GB2312" w:eastAsia="仿宋_GB2312" w:cs="仿宋_GB2312"/>
          <w:color w:val="auto"/>
          <w:sz w:val="32"/>
          <w:szCs w:val="32"/>
          <w:u w:val="none"/>
          <w:shd w:val="clear" w:color="auto" w:fill="FFFFFF"/>
        </w:rPr>
        <w:t>年12月31日，</w:t>
      </w:r>
      <w:r>
        <w:rPr>
          <w:rFonts w:hint="eastAsia" w:ascii="仿宋_GB2312" w:hAnsi="仿宋_GB2312" w:eastAsia="仿宋_GB2312" w:cs="仿宋_GB2312"/>
          <w:color w:val="auto"/>
          <w:sz w:val="32"/>
          <w:szCs w:val="32"/>
          <w:u w:val="none"/>
          <w:shd w:val="clear" w:color="auto" w:fill="FFFFFF"/>
          <w:lang w:eastAsia="zh-CN"/>
        </w:rPr>
        <w:t>本单位</w:t>
      </w:r>
      <w:r>
        <w:rPr>
          <w:rFonts w:hint="eastAsia" w:ascii="仿宋_GB2312" w:hAnsi="仿宋_GB2312" w:eastAsia="仿宋_GB2312" w:cs="仿宋_GB2312"/>
          <w:color w:val="auto"/>
          <w:sz w:val="32"/>
          <w:szCs w:val="32"/>
          <w:u w:val="none"/>
          <w:shd w:val="clear" w:color="auto" w:fill="FFFFFF"/>
        </w:rPr>
        <w:t>资产总额</w:t>
      </w:r>
      <w:r>
        <w:rPr>
          <w:rFonts w:hint="eastAsia" w:ascii="仿宋_GB2312" w:hAnsi="仿宋_GB2312" w:eastAsia="仿宋_GB2312" w:cs="仿宋_GB2312"/>
          <w:color w:val="auto"/>
          <w:sz w:val="32"/>
          <w:szCs w:val="32"/>
          <w:u w:val="none"/>
          <w:shd w:val="clear" w:color="auto" w:fill="FFFFFF"/>
          <w:lang w:val="en-US" w:eastAsia="zh-CN"/>
        </w:rPr>
        <w:t>3439.77</w:t>
      </w:r>
      <w:r>
        <w:rPr>
          <w:rFonts w:hint="eastAsia" w:ascii="仿宋_GB2312" w:hAnsi="仿宋_GB2312" w:eastAsia="仿宋_GB2312" w:cs="仿宋_GB2312"/>
          <w:color w:val="auto"/>
          <w:sz w:val="32"/>
          <w:szCs w:val="32"/>
          <w:u w:val="none"/>
          <w:shd w:val="clear" w:color="auto" w:fill="FFFFFF"/>
        </w:rPr>
        <w:t>万元，其中流动资产</w:t>
      </w:r>
      <w:r>
        <w:rPr>
          <w:rFonts w:hint="eastAsia" w:ascii="仿宋_GB2312" w:hAnsi="仿宋_GB2312" w:eastAsia="仿宋_GB2312" w:cs="仿宋_GB2312"/>
          <w:color w:val="auto"/>
          <w:sz w:val="32"/>
          <w:szCs w:val="32"/>
          <w:u w:val="none"/>
          <w:shd w:val="clear" w:color="auto" w:fill="FFFFFF"/>
          <w:lang w:val="en-US" w:eastAsia="zh-CN"/>
        </w:rPr>
        <w:t>376.54</w:t>
      </w:r>
      <w:r>
        <w:rPr>
          <w:rFonts w:hint="eastAsia" w:ascii="仿宋_GB2312" w:hAnsi="仿宋_GB2312" w:eastAsia="仿宋_GB2312" w:cs="仿宋_GB2312"/>
          <w:color w:val="auto"/>
          <w:sz w:val="32"/>
          <w:szCs w:val="32"/>
          <w:u w:val="none"/>
          <w:shd w:val="clear" w:color="auto" w:fill="FFFFFF"/>
        </w:rPr>
        <w:t>万元，固定资产</w:t>
      </w:r>
      <w:r>
        <w:rPr>
          <w:rFonts w:hint="eastAsia" w:ascii="仿宋_GB2312" w:hAnsi="仿宋_GB2312" w:eastAsia="仿宋_GB2312" w:cs="仿宋_GB2312"/>
          <w:color w:val="auto"/>
          <w:sz w:val="32"/>
          <w:szCs w:val="32"/>
          <w:u w:val="none"/>
          <w:shd w:val="clear" w:color="auto" w:fill="FFFFFF"/>
          <w:lang w:val="en-US" w:eastAsia="zh-CN"/>
        </w:rPr>
        <w:t>3063.23</w:t>
      </w:r>
      <w:r>
        <w:rPr>
          <w:rFonts w:hint="eastAsia" w:ascii="仿宋_GB2312" w:hAnsi="仿宋_GB2312" w:eastAsia="仿宋_GB2312" w:cs="仿宋_GB2312"/>
          <w:color w:val="auto"/>
          <w:sz w:val="32"/>
          <w:szCs w:val="32"/>
          <w:u w:val="none"/>
          <w:shd w:val="clear" w:color="auto" w:fill="FFFFFF"/>
        </w:rPr>
        <w:t>万元，在建工程</w:t>
      </w:r>
      <w:r>
        <w:rPr>
          <w:rFonts w:hint="eastAsia" w:ascii="仿宋_GB2312" w:hAnsi="仿宋_GB2312" w:eastAsia="仿宋_GB2312" w:cs="仿宋_GB2312"/>
          <w:color w:val="auto"/>
          <w:sz w:val="32"/>
          <w:szCs w:val="32"/>
          <w:u w:val="none"/>
          <w:shd w:val="clear" w:color="auto" w:fill="FFFFFF"/>
          <w:lang w:val="en-US" w:eastAsia="zh-CN"/>
        </w:rPr>
        <w:t xml:space="preserve"> 0</w:t>
      </w:r>
      <w:r>
        <w:rPr>
          <w:rFonts w:hint="eastAsia" w:ascii="仿宋_GB2312" w:hAnsi="仿宋_GB2312" w:eastAsia="仿宋_GB2312" w:cs="仿宋_GB2312"/>
          <w:color w:val="auto"/>
          <w:sz w:val="32"/>
          <w:szCs w:val="32"/>
          <w:u w:val="none"/>
          <w:shd w:val="clear" w:color="auto" w:fill="FFFFFF"/>
        </w:rPr>
        <w:t>万元，无形资产</w:t>
      </w:r>
      <w:r>
        <w:rPr>
          <w:rFonts w:hint="eastAsia" w:ascii="仿宋_GB2312" w:hAnsi="仿宋_GB2312" w:eastAsia="仿宋_GB2312" w:cs="仿宋_GB2312"/>
          <w:color w:val="auto"/>
          <w:sz w:val="32"/>
          <w:szCs w:val="32"/>
          <w:u w:val="none"/>
          <w:shd w:val="clear" w:color="auto" w:fill="FFFFFF"/>
          <w:lang w:val="en-US" w:eastAsia="zh-CN"/>
        </w:rPr>
        <w:t>0</w:t>
      </w:r>
      <w:r>
        <w:rPr>
          <w:rFonts w:hint="eastAsia" w:ascii="仿宋_GB2312" w:hAnsi="仿宋_GB2312" w:eastAsia="仿宋_GB2312" w:cs="仿宋_GB2312"/>
          <w:color w:val="auto"/>
          <w:sz w:val="32"/>
          <w:szCs w:val="32"/>
          <w:u w:val="none"/>
          <w:shd w:val="clear" w:color="auto" w:fill="FFFFFF"/>
        </w:rPr>
        <w:t>万元</w:t>
      </w:r>
      <w:r>
        <w:rPr>
          <w:rFonts w:hint="eastAsia" w:ascii="仿宋_GB2312" w:hAnsi="仿宋_GB2312" w:eastAsia="仿宋_GB2312" w:cs="仿宋_GB2312"/>
          <w:color w:val="auto"/>
          <w:sz w:val="32"/>
          <w:szCs w:val="32"/>
          <w:u w:val="none"/>
          <w:shd w:val="clear" w:color="auto" w:fill="FFFFFF"/>
          <w:lang w:eastAsia="zh-CN"/>
        </w:rPr>
        <w:t>。</w:t>
      </w:r>
      <w:r>
        <w:rPr>
          <w:rFonts w:hint="eastAsia" w:ascii="仿宋_GB2312" w:hAnsi="仿宋_GB2312" w:eastAsia="仿宋_GB2312" w:cs="仿宋_GB2312"/>
          <w:color w:val="auto"/>
          <w:sz w:val="32"/>
          <w:szCs w:val="32"/>
          <w:u w:val="none"/>
          <w:shd w:val="clear" w:color="auto" w:fill="FFFFFF"/>
        </w:rPr>
        <w:t>固定资产当中，房屋构筑物</w:t>
      </w:r>
      <w:r>
        <w:rPr>
          <w:rFonts w:hint="eastAsia" w:ascii="仿宋_GB2312" w:hAnsi="仿宋_GB2312" w:eastAsia="仿宋_GB2312" w:cs="仿宋_GB2312"/>
          <w:color w:val="auto"/>
          <w:sz w:val="32"/>
          <w:szCs w:val="32"/>
          <w:u w:val="none"/>
          <w:shd w:val="clear" w:color="auto" w:fill="FFFFFF"/>
          <w:lang w:val="en-US" w:eastAsia="zh-CN"/>
        </w:rPr>
        <w:t xml:space="preserve">    2975.76</w:t>
      </w:r>
      <w:r>
        <w:rPr>
          <w:rFonts w:hint="eastAsia" w:ascii="仿宋_GB2312" w:hAnsi="仿宋_GB2312" w:eastAsia="仿宋_GB2312" w:cs="仿宋_GB2312"/>
          <w:color w:val="auto"/>
          <w:sz w:val="32"/>
          <w:szCs w:val="32"/>
          <w:u w:val="none"/>
          <w:shd w:val="clear" w:color="auto" w:fill="FFFFFF"/>
        </w:rPr>
        <w:t>万元，汽车</w:t>
      </w:r>
      <w:r>
        <w:rPr>
          <w:rFonts w:hint="eastAsia" w:ascii="仿宋_GB2312" w:hAnsi="仿宋_GB2312" w:eastAsia="仿宋_GB2312" w:cs="仿宋_GB2312"/>
          <w:color w:val="auto"/>
          <w:sz w:val="32"/>
          <w:szCs w:val="32"/>
          <w:u w:val="none"/>
          <w:shd w:val="clear" w:color="auto" w:fill="FFFFFF"/>
          <w:lang w:val="en-US" w:eastAsia="zh-CN"/>
        </w:rPr>
        <w:t xml:space="preserve"> 4</w:t>
      </w:r>
      <w:r>
        <w:rPr>
          <w:rFonts w:hint="eastAsia" w:ascii="仿宋_GB2312" w:hAnsi="仿宋_GB2312" w:eastAsia="仿宋_GB2312" w:cs="仿宋_GB2312"/>
          <w:color w:val="auto"/>
          <w:sz w:val="32"/>
          <w:szCs w:val="32"/>
          <w:u w:val="none"/>
          <w:shd w:val="clear" w:color="auto" w:fill="FFFFFF"/>
        </w:rPr>
        <w:t>辆</w:t>
      </w:r>
      <w:r>
        <w:rPr>
          <w:rFonts w:hint="eastAsia" w:ascii="仿宋_GB2312" w:hAnsi="仿宋_GB2312" w:eastAsia="仿宋_GB2312" w:cs="仿宋_GB2312"/>
          <w:color w:val="auto"/>
          <w:sz w:val="32"/>
          <w:szCs w:val="32"/>
          <w:u w:val="none"/>
          <w:shd w:val="clear" w:color="auto" w:fill="FFFFFF"/>
          <w:lang w:val="en-US" w:eastAsia="zh-CN"/>
        </w:rPr>
        <w:t>54.47</w:t>
      </w:r>
      <w:r>
        <w:rPr>
          <w:rFonts w:hint="eastAsia" w:ascii="仿宋_GB2312" w:hAnsi="仿宋_GB2312" w:eastAsia="仿宋_GB2312" w:cs="仿宋_GB2312"/>
          <w:color w:val="auto"/>
          <w:sz w:val="32"/>
          <w:szCs w:val="32"/>
          <w:u w:val="none"/>
          <w:shd w:val="clear" w:color="auto" w:fill="FFFFFF"/>
        </w:rPr>
        <w:t>万元，单价200万元以上大型设备价值</w:t>
      </w:r>
      <w:r>
        <w:rPr>
          <w:rFonts w:hint="eastAsia" w:ascii="仿宋_GB2312" w:hAnsi="仿宋_GB2312" w:eastAsia="仿宋_GB2312" w:cs="仿宋_GB2312"/>
          <w:color w:val="auto"/>
          <w:sz w:val="32"/>
          <w:szCs w:val="32"/>
          <w:u w:val="none"/>
          <w:shd w:val="clear" w:color="auto" w:fill="FFFFFF"/>
          <w:lang w:val="en-US" w:eastAsia="zh-CN"/>
        </w:rPr>
        <w:t xml:space="preserve"> 0 </w:t>
      </w:r>
      <w:r>
        <w:rPr>
          <w:rFonts w:hint="eastAsia" w:ascii="仿宋_GB2312" w:hAnsi="仿宋_GB2312" w:eastAsia="仿宋_GB2312" w:cs="仿宋_GB2312"/>
          <w:color w:val="auto"/>
          <w:sz w:val="32"/>
          <w:szCs w:val="32"/>
          <w:u w:val="none"/>
          <w:shd w:val="clear" w:color="auto" w:fill="FFFFFF"/>
        </w:rPr>
        <w:t>万元，其他固定资产</w:t>
      </w:r>
      <w:r>
        <w:rPr>
          <w:rFonts w:hint="eastAsia" w:ascii="仿宋_GB2312" w:hAnsi="仿宋_GB2312" w:eastAsia="仿宋_GB2312" w:cs="仿宋_GB2312"/>
          <w:color w:val="auto"/>
          <w:sz w:val="32"/>
          <w:szCs w:val="32"/>
          <w:u w:val="none"/>
          <w:shd w:val="clear" w:color="auto" w:fill="FFFFFF"/>
          <w:lang w:val="en-US" w:eastAsia="zh-CN"/>
        </w:rPr>
        <w:t>33</w:t>
      </w:r>
      <w:r>
        <w:rPr>
          <w:rFonts w:hint="eastAsia" w:ascii="仿宋_GB2312" w:hAnsi="仿宋_GB2312" w:eastAsia="仿宋_GB2312" w:cs="仿宋_GB2312"/>
          <w:color w:val="auto"/>
          <w:sz w:val="32"/>
          <w:szCs w:val="32"/>
          <w:u w:val="none"/>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u w:val="none"/>
          <w:shd w:val="clear" w:color="auto" w:fill="FFFFFF"/>
        </w:rPr>
      </w:pPr>
      <w:r>
        <w:rPr>
          <w:rFonts w:hint="eastAsia" w:ascii="仿宋_GB2312" w:hAnsi="仿宋_GB2312" w:eastAsia="仿宋_GB2312" w:cs="仿宋_GB2312"/>
          <w:color w:val="auto"/>
          <w:sz w:val="32"/>
          <w:szCs w:val="32"/>
          <w:u w:val="none"/>
          <w:shd w:val="clear" w:color="auto" w:fill="FFFFFF"/>
        </w:rPr>
        <w:t>与上年相比，本年资产总额增加</w:t>
      </w:r>
      <w:r>
        <w:rPr>
          <w:rFonts w:hint="eastAsia" w:ascii="仿宋_GB2312" w:hAnsi="仿宋_GB2312" w:eastAsia="仿宋_GB2312" w:cs="仿宋_GB2312"/>
          <w:color w:val="auto"/>
          <w:sz w:val="32"/>
          <w:szCs w:val="32"/>
          <w:u w:val="none"/>
          <w:shd w:val="clear" w:color="auto" w:fill="FFFFFF"/>
          <w:lang w:val="en-US" w:eastAsia="zh-CN"/>
        </w:rPr>
        <w:t xml:space="preserve">136.43 </w:t>
      </w:r>
      <w:r>
        <w:rPr>
          <w:rFonts w:hint="eastAsia" w:ascii="仿宋_GB2312" w:hAnsi="仿宋_GB2312" w:eastAsia="仿宋_GB2312" w:cs="仿宋_GB2312"/>
          <w:color w:val="auto"/>
          <w:sz w:val="32"/>
          <w:szCs w:val="32"/>
          <w:u w:val="none"/>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本单位本年度无项目支出预算，无此项说明。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9413F5"/>
    <w:rsid w:val="11F35FF2"/>
    <w:rsid w:val="179A58B8"/>
    <w:rsid w:val="1B4A6025"/>
    <w:rsid w:val="1DF453AF"/>
    <w:rsid w:val="1E107510"/>
    <w:rsid w:val="1E643EFE"/>
    <w:rsid w:val="209E0EC3"/>
    <w:rsid w:val="20D37872"/>
    <w:rsid w:val="22140CC1"/>
    <w:rsid w:val="24D63713"/>
    <w:rsid w:val="2A937DAC"/>
    <w:rsid w:val="2DB60033"/>
    <w:rsid w:val="2F754CA8"/>
    <w:rsid w:val="2F862505"/>
    <w:rsid w:val="2FB928F6"/>
    <w:rsid w:val="341824CB"/>
    <w:rsid w:val="343F3937"/>
    <w:rsid w:val="34D53928"/>
    <w:rsid w:val="35EC6B76"/>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49F30AC"/>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2021-06-04T08:27:17Z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