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000000" w:themeColor="text1"/>
          <w:sz w:val="44"/>
          <w:szCs w:val="44"/>
          <w:lang w:eastAsia="zh-CN"/>
          <w14:textFill>
            <w14:solidFill>
              <w14:schemeClr w14:val="tx1"/>
            </w14:solidFill>
          </w14:textFill>
        </w:rPr>
      </w:pPr>
    </w:p>
    <w:p>
      <w:pPr>
        <w:jc w:val="center"/>
        <w:rPr>
          <w:rFonts w:hint="eastAsia"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lang w:eastAsia="zh-CN"/>
          <w14:textFill>
            <w14:solidFill>
              <w14:schemeClr w14:val="tx1"/>
            </w14:solidFill>
          </w14:textFill>
        </w:rPr>
        <w:t>山西省襄垣</w:t>
      </w:r>
      <w:r>
        <w:rPr>
          <w:rFonts w:hint="eastAsia" w:ascii="黑体" w:hAnsi="黑体" w:eastAsia="黑体" w:cstheme="minorEastAsia"/>
          <w:color w:val="000000" w:themeColor="text1"/>
          <w:sz w:val="44"/>
          <w:szCs w:val="44"/>
          <w14:textFill>
            <w14:solidFill>
              <w14:schemeClr w14:val="tx1"/>
            </w14:solidFill>
          </w14:textFill>
        </w:rPr>
        <w:t>县</w:t>
      </w:r>
      <w:r>
        <w:rPr>
          <w:rFonts w:hint="eastAsia" w:ascii="Arial" w:hAnsi="Arial" w:eastAsia="黑体" w:cs="Arial"/>
          <w:color w:val="000000" w:themeColor="text1"/>
          <w:sz w:val="44"/>
          <w:szCs w:val="44"/>
          <w:lang w:eastAsia="zh-CN"/>
          <w14:textFill>
            <w14:solidFill>
              <w14:schemeClr w14:val="tx1"/>
            </w14:solidFill>
          </w14:textFill>
        </w:rPr>
        <w:t>公证处</w:t>
      </w:r>
    </w:p>
    <w:p>
      <w:pPr>
        <w:jc w:val="center"/>
        <w:rPr>
          <w:rFonts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14:textFill>
            <w14:solidFill>
              <w14:schemeClr w14:val="tx1"/>
            </w14:solidFill>
          </w14:textFill>
        </w:rPr>
        <w:t>20</w:t>
      </w:r>
      <w:r>
        <w:rPr>
          <w:rFonts w:hint="eastAsia" w:ascii="黑体" w:hAnsi="黑体" w:eastAsia="黑体" w:cstheme="minorEastAsia"/>
          <w:color w:val="000000" w:themeColor="text1"/>
          <w:sz w:val="44"/>
          <w:szCs w:val="44"/>
          <w:lang w:val="en-US" w:eastAsia="zh-CN"/>
          <w14:textFill>
            <w14:solidFill>
              <w14:schemeClr w14:val="tx1"/>
            </w14:solidFill>
          </w14:textFill>
        </w:rPr>
        <w:t>20</w:t>
      </w:r>
      <w:r>
        <w:rPr>
          <w:rFonts w:hint="eastAsia" w:ascii="黑体" w:hAnsi="黑体" w:eastAsia="黑体" w:cstheme="minorEastAsia"/>
          <w:color w:val="000000" w:themeColor="text1"/>
          <w:sz w:val="44"/>
          <w:szCs w:val="44"/>
          <w14:textFill>
            <w14:solidFill>
              <w14:schemeClr w14:val="tx1"/>
            </w14:solidFill>
          </w14:textFill>
        </w:rPr>
        <w:t>年部门</w:t>
      </w:r>
      <w:r>
        <w:rPr>
          <w:rFonts w:hint="eastAsia" w:ascii="黑体" w:hAnsi="黑体" w:eastAsia="黑体" w:cstheme="minorEastAsia"/>
          <w:color w:val="000000" w:themeColor="text1"/>
          <w:sz w:val="44"/>
          <w:szCs w:val="44"/>
          <w:lang w:eastAsia="zh-CN"/>
          <w14:textFill>
            <w14:solidFill>
              <w14:schemeClr w14:val="tx1"/>
            </w14:solidFill>
          </w14:textFill>
        </w:rPr>
        <w:t>预算</w:t>
      </w:r>
      <w:r>
        <w:rPr>
          <w:rFonts w:hint="eastAsia" w:ascii="黑体" w:hAnsi="黑体" w:eastAsia="黑体" w:cstheme="minorEastAsia"/>
          <w:color w:val="000000" w:themeColor="text1"/>
          <w:sz w:val="44"/>
          <w:szCs w:val="44"/>
          <w14:textFill>
            <w14:solidFill>
              <w14:schemeClr w14:val="tx1"/>
            </w14:solidFill>
          </w14:textFill>
        </w:rPr>
        <w:t>公开</w:t>
      </w:r>
      <w:r>
        <w:rPr>
          <w:rFonts w:hint="eastAsia" w:ascii="黑体" w:hAnsi="黑体" w:eastAsia="黑体" w:cstheme="minorEastAsia"/>
          <w:color w:val="000000" w:themeColor="text1"/>
          <w:sz w:val="44"/>
          <w:szCs w:val="44"/>
          <w:lang w:eastAsia="zh-CN"/>
          <w14:textFill>
            <w14:solidFill>
              <w14:schemeClr w14:val="tx1"/>
            </w14:solidFill>
          </w14:textFill>
        </w:rPr>
        <w:t>情况</w:t>
      </w:r>
      <w:r>
        <w:rPr>
          <w:rFonts w:hint="eastAsia" w:ascii="黑体" w:hAnsi="黑体" w:eastAsia="黑体" w:cstheme="minorEastAsia"/>
          <w:color w:val="000000" w:themeColor="text1"/>
          <w:sz w:val="44"/>
          <w:szCs w:val="44"/>
          <w14:textFill>
            <w14:solidFill>
              <w14:schemeClr w14:val="tx1"/>
            </w14:solidFill>
          </w14:textFill>
        </w:rPr>
        <w:t>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Theme="minorEastAsia" w:hAnsiTheme="minorEastAsia" w:cstheme="minorEastAsia"/>
          <w:color w:val="000000" w:themeColor="text1"/>
          <w:sz w:val="32"/>
          <w:szCs w:val="32"/>
          <w14:textFill>
            <w14:solidFill>
              <w14:schemeClr w14:val="tx1"/>
            </w14:solidFill>
          </w14:textFill>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pStyle w:val="11"/>
        <w:ind w:firstLineChars="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（1）办理公证事务，出具公证证明。如公证经合同、收养、遗嘱等法律行为，公证学历、出生、亲属关系等有法律意义的事实和文书，赋予债权文书具有强制执行效力，办理保全证据和</w:t>
      </w: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"https://www.baidu.com/s?wd=%E6%8F%90%E5%AD%98%E5%85%AC%E8%AF%81&amp;tn=SE_PcZhidaonwhc_ngpagmjz&amp;rsv_dl=gh_pc_zhidao" </w:instrText>
      </w:r>
      <w:r>
        <w:rPr>
          <w:rFonts w:hint="eastAsia" w:ascii="仿宋" w:hAnsi="仿宋" w:eastAsia="仿宋" w:cs="仿宋"/>
          <w:color w:val="000000" w:themeColor="text1"/>
          <w:sz w:val="32"/>
          <w:szCs w:val="32"/>
          <w14:textFill>
            <w14:solidFill>
              <w14:schemeClr w14:val="tx1"/>
            </w14:solidFill>
          </w14:textFill>
        </w:rPr>
        <w:fldChar w:fldCharType="separate"/>
      </w:r>
      <w:r>
        <w:rPr>
          <w:rStyle w:val="8"/>
          <w:rFonts w:hint="eastAsia" w:ascii="仿宋" w:hAnsi="仿宋" w:eastAsia="仿宋" w:cs="仿宋"/>
          <w:color w:val="000000" w:themeColor="text1"/>
          <w:sz w:val="32"/>
          <w:szCs w:val="32"/>
          <w:u w:val="none"/>
          <w14:textFill>
            <w14:solidFill>
              <w14:schemeClr w14:val="tx1"/>
            </w14:solidFill>
          </w14:textFill>
        </w:rPr>
        <w:t>提存公证</w:t>
      </w:r>
      <w:r>
        <w:rPr>
          <w:rStyle w:val="8"/>
          <w:rFonts w:hint="eastAsia" w:ascii="仿宋" w:hAnsi="仿宋" w:eastAsia="仿宋" w:cs="仿宋"/>
          <w:color w:val="000000" w:themeColor="text1"/>
          <w:sz w:val="32"/>
          <w:szCs w:val="32"/>
          <w:u w:val="none"/>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 xml:space="preserve">等。 </w:t>
      </w:r>
    </w:p>
    <w:p>
      <w:pPr>
        <w:pStyle w:val="11"/>
        <w:ind w:firstLineChars="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（2）向社会提供法律服务。除办理公证事务外，公证法律服务的内容还包括：解答</w:t>
      </w: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"https://www.baidu.com/s?wd=%E6%B3%95%E5%BE%8B%E5%92%A8%E8%AF%A2&amp;tn=SE_PcZhidaonwhc_ngpagmjz&amp;rsv_dl=gh_pc_zhidao" </w:instrText>
      </w:r>
      <w:r>
        <w:rPr>
          <w:rFonts w:hint="eastAsia" w:ascii="仿宋" w:hAnsi="仿宋" w:eastAsia="仿宋" w:cs="仿宋"/>
          <w:color w:val="000000" w:themeColor="text1"/>
          <w:sz w:val="32"/>
          <w:szCs w:val="32"/>
          <w14:textFill>
            <w14:solidFill>
              <w14:schemeClr w14:val="tx1"/>
            </w14:solidFill>
          </w14:textFill>
        </w:rPr>
        <w:fldChar w:fldCharType="separate"/>
      </w:r>
      <w:r>
        <w:rPr>
          <w:rStyle w:val="8"/>
          <w:rFonts w:hint="eastAsia" w:ascii="仿宋" w:hAnsi="仿宋" w:eastAsia="仿宋" w:cs="仿宋"/>
          <w:color w:val="000000" w:themeColor="text1"/>
          <w:sz w:val="32"/>
          <w:szCs w:val="32"/>
          <w:u w:val="none"/>
          <w14:textFill>
            <w14:solidFill>
              <w14:schemeClr w14:val="tx1"/>
            </w14:solidFill>
          </w14:textFill>
        </w:rPr>
        <w:t>法律咨询</w:t>
      </w:r>
      <w:r>
        <w:rPr>
          <w:rStyle w:val="8"/>
          <w:rFonts w:hint="eastAsia" w:ascii="仿宋" w:hAnsi="仿宋" w:eastAsia="仿宋" w:cs="仿宋"/>
          <w:color w:val="000000" w:themeColor="text1"/>
          <w:sz w:val="32"/>
          <w:szCs w:val="32"/>
          <w:u w:val="none"/>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 xml:space="preserve">，代写法律文书，代当事人保管遗嘱、文件和其他贵重物品，清点、封存遗产，调解公证事项的纠纷，应邀参与当事人之间的谈判和其他经济活动，进行回访监督，提出公证建议，担任法律顾问，代办与公证有关的法律手续等。 </w:t>
      </w:r>
    </w:p>
    <w:p>
      <w:pPr>
        <w:pStyle w:val="11"/>
        <w:ind w:firstLineChars="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3）对社会性活动实施法律监督。如对招标投标、拍卖、面向社会的各类有奖活动、社会性评选活动、社会性竞赛活动、商品的抽样检测等与公众或社会经济生活有密切关系的社会活动进行公证监督，以维护正常的经济秩序。 </w:t>
      </w:r>
    </w:p>
    <w:p>
      <w:pPr>
        <w:pStyle w:val="11"/>
        <w:ind w:firstLineChars="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（4）普及</w:t>
      </w: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"https://www.baidu.com/s?wd=%E6%B3%95%E5%BE%8B%E7%9F%A5%E8%AF%86&amp;tn=SE_PcZhidaonwhc_ngpagmjz&amp;rsv_dl=gh_pc_zhidao" </w:instrText>
      </w:r>
      <w:r>
        <w:rPr>
          <w:rFonts w:hint="eastAsia" w:ascii="仿宋" w:hAnsi="仿宋" w:eastAsia="仿宋" w:cs="仿宋"/>
          <w:color w:val="000000" w:themeColor="text1"/>
          <w:sz w:val="32"/>
          <w:szCs w:val="32"/>
          <w14:textFill>
            <w14:solidFill>
              <w14:schemeClr w14:val="tx1"/>
            </w14:solidFill>
          </w14:textFill>
        </w:rPr>
        <w:fldChar w:fldCharType="separate"/>
      </w:r>
      <w:r>
        <w:rPr>
          <w:rStyle w:val="8"/>
          <w:rFonts w:hint="eastAsia" w:ascii="仿宋" w:hAnsi="仿宋" w:eastAsia="仿宋" w:cs="仿宋"/>
          <w:color w:val="000000" w:themeColor="text1"/>
          <w:sz w:val="32"/>
          <w:szCs w:val="32"/>
          <w:u w:val="none"/>
          <w14:textFill>
            <w14:solidFill>
              <w14:schemeClr w14:val="tx1"/>
            </w14:solidFill>
          </w14:textFill>
        </w:rPr>
        <w:t>法律知识</w:t>
      </w:r>
      <w:r>
        <w:rPr>
          <w:rStyle w:val="8"/>
          <w:rFonts w:hint="eastAsia" w:ascii="仿宋" w:hAnsi="仿宋" w:eastAsia="仿宋" w:cs="仿宋"/>
          <w:color w:val="000000" w:themeColor="text1"/>
          <w:sz w:val="32"/>
          <w:szCs w:val="32"/>
          <w:u w:val="none"/>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，宣传</w:t>
      </w: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"https://www.baidu.com/s?wd=%E7%A4%BE%E4%BC%9A%E4%B8%BB%E4%B9%89%E6%B3%95%E5%88%B6&amp;tn=SE_PcZhidaonwhc_ngpagmjz&amp;rsv_dl=gh_pc_zhidao" </w:instrText>
      </w:r>
      <w:r>
        <w:rPr>
          <w:rFonts w:hint="eastAsia" w:ascii="仿宋" w:hAnsi="仿宋" w:eastAsia="仿宋" w:cs="仿宋"/>
          <w:color w:val="000000" w:themeColor="text1"/>
          <w:sz w:val="32"/>
          <w:szCs w:val="32"/>
          <w14:textFill>
            <w14:solidFill>
              <w14:schemeClr w14:val="tx1"/>
            </w14:solidFill>
          </w14:textFill>
        </w:rPr>
        <w:fldChar w:fldCharType="separate"/>
      </w:r>
      <w:r>
        <w:rPr>
          <w:rStyle w:val="8"/>
          <w:rFonts w:hint="eastAsia" w:ascii="仿宋" w:hAnsi="仿宋" w:eastAsia="仿宋" w:cs="仿宋"/>
          <w:color w:val="000000" w:themeColor="text1"/>
          <w:sz w:val="32"/>
          <w:szCs w:val="32"/>
          <w:u w:val="none"/>
          <w14:textFill>
            <w14:solidFill>
              <w14:schemeClr w14:val="tx1"/>
            </w14:solidFill>
          </w14:textFill>
        </w:rPr>
        <w:t>社会主义法制</w:t>
      </w:r>
      <w:r>
        <w:rPr>
          <w:rStyle w:val="8"/>
          <w:rFonts w:hint="eastAsia" w:ascii="仿宋" w:hAnsi="仿宋" w:eastAsia="仿宋" w:cs="仿宋"/>
          <w:color w:val="000000" w:themeColor="text1"/>
          <w:sz w:val="32"/>
          <w:szCs w:val="32"/>
          <w:u w:val="none"/>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，教育公民、法人和其他组织遵守法律，维护</w:t>
      </w: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"https://www.baidu.com/s?wd=%E7%A4%BE%E4%BC%9A%E7%A7%A9%E5%BA%8F&amp;tn=SE_PcZhidaonwhc_ngpagmjz&amp;rsv_dl=gh_pc_zhidao" </w:instrText>
      </w:r>
      <w:r>
        <w:rPr>
          <w:rFonts w:hint="eastAsia" w:ascii="仿宋" w:hAnsi="仿宋" w:eastAsia="仿宋" w:cs="仿宋"/>
          <w:color w:val="000000" w:themeColor="text1"/>
          <w:sz w:val="32"/>
          <w:szCs w:val="32"/>
          <w14:textFill>
            <w14:solidFill>
              <w14:schemeClr w14:val="tx1"/>
            </w14:solidFill>
          </w14:textFill>
        </w:rPr>
        <w:fldChar w:fldCharType="separate"/>
      </w:r>
      <w:r>
        <w:rPr>
          <w:rStyle w:val="8"/>
          <w:rFonts w:hint="eastAsia" w:ascii="仿宋" w:hAnsi="仿宋" w:eastAsia="仿宋" w:cs="仿宋"/>
          <w:color w:val="000000" w:themeColor="text1"/>
          <w:sz w:val="32"/>
          <w:szCs w:val="32"/>
          <w:u w:val="none"/>
          <w14:textFill>
            <w14:solidFill>
              <w14:schemeClr w14:val="tx1"/>
            </w14:solidFill>
          </w14:textFill>
        </w:rPr>
        <w:t>社会秩序</w:t>
      </w:r>
      <w:r>
        <w:rPr>
          <w:rStyle w:val="8"/>
          <w:rFonts w:hint="eastAsia" w:ascii="仿宋" w:hAnsi="仿宋" w:eastAsia="仿宋" w:cs="仿宋"/>
          <w:color w:val="000000" w:themeColor="text1"/>
          <w:sz w:val="32"/>
          <w:szCs w:val="32"/>
          <w:u w:val="none"/>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snapToGrid w:val="0"/>
        <w:spacing w:line="52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我处为副科级全额拨款事业单位</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核定编制数5名，</w:t>
      </w:r>
      <w:r>
        <w:rPr>
          <w:rFonts w:ascii="仿宋" w:hAnsi="仿宋" w:eastAsia="仿宋"/>
          <w:color w:val="000000" w:themeColor="text1"/>
          <w:sz w:val="32"/>
          <w:szCs w:val="32"/>
          <w14:textFill>
            <w14:solidFill>
              <w14:schemeClr w14:val="tx1"/>
            </w14:solidFill>
          </w14:textFill>
        </w:rPr>
        <w:t>无内设机构，属司法局下属</w:t>
      </w:r>
      <w:r>
        <w:rPr>
          <w:rFonts w:hint="eastAsia" w:ascii="仿宋" w:hAnsi="仿宋" w:eastAsia="仿宋"/>
          <w:color w:val="000000" w:themeColor="text1"/>
          <w:sz w:val="32"/>
          <w:szCs w:val="32"/>
          <w14:textFill>
            <w14:solidFill>
              <w14:schemeClr w14:val="tx1"/>
            </w14:solidFill>
          </w14:textFill>
        </w:rPr>
        <w:t>事业</w:t>
      </w:r>
      <w:r>
        <w:rPr>
          <w:rFonts w:ascii="仿宋" w:hAnsi="仿宋" w:eastAsia="仿宋"/>
          <w:color w:val="000000" w:themeColor="text1"/>
          <w:sz w:val="32"/>
          <w:szCs w:val="32"/>
          <w14:textFill>
            <w14:solidFill>
              <w14:schemeClr w14:val="tx1"/>
            </w14:solidFill>
          </w14:textFill>
        </w:rPr>
        <w:t>单位，现有工作人员</w:t>
      </w:r>
      <w:r>
        <w:rPr>
          <w:rFonts w:hint="eastAsia" w:ascii="仿宋" w:hAnsi="仿宋" w:eastAsia="仿宋"/>
          <w:color w:val="000000" w:themeColor="text1"/>
          <w:sz w:val="32"/>
          <w:szCs w:val="32"/>
          <w:lang w:val="en-US" w:eastAsia="zh-CN"/>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人。</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snapToGrid w:val="0"/>
        <w:spacing w:line="52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现有事业编制5名，事业人员4人。</w:t>
      </w:r>
    </w:p>
    <w:p>
      <w:pPr>
        <w:ind w:firstLine="643" w:firstLineChars="200"/>
        <w:rPr>
          <w:rFonts w:hint="eastAsia" w:ascii="楷体" w:hAnsi="楷体" w:eastAsia="楷体" w:cstheme="minorEastAsia"/>
          <w:b/>
          <w:bCs w:val="0"/>
          <w:color w:val="000000" w:themeColor="text1"/>
          <w:sz w:val="32"/>
          <w:szCs w:val="32"/>
          <w:lang w:eastAsia="zh-CN"/>
          <w14:textFill>
            <w14:solidFill>
              <w14:schemeClr w14:val="tx1"/>
            </w14:solidFill>
          </w14:textFill>
        </w:rPr>
      </w:pPr>
      <w:r>
        <w:rPr>
          <w:rFonts w:hint="eastAsia" w:ascii="楷体" w:hAnsi="楷体" w:eastAsia="楷体" w:cstheme="minorEastAsia"/>
          <w:b/>
          <w:bCs w:val="0"/>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山西省襄垣县公证处2020年度收入、支出预算总计36.9293万元，与上年相比收、支预算总计均增加1.754 万元，增加5%。主要原因：工资正常增长。其中：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（一）收入预算总计36.9293万元。包括：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1．财政拨款收入预算总计36.9293万元。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（1）一般公共预算收入预算36.9293万元，与上年相比增加1.754 万元，增长5%。主要原因是工资正常增长等原因。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w:t>
      </w:r>
      <w:r>
        <w:rPr>
          <w:rFonts w:hint="eastAsia" w:ascii="仿宋" w:hAnsi="仿宋" w:eastAsia="仿宋" w:cs="仿宋_GB2312"/>
          <w:color w:val="auto"/>
          <w:kern w:val="2"/>
          <w:sz w:val="32"/>
          <w:szCs w:val="32"/>
          <w:lang w:val="en-US" w:eastAsia="zh-CN" w:bidi="ar"/>
        </w:rPr>
        <w:t>:</w:t>
      </w:r>
      <w:r>
        <w:rPr>
          <w:rFonts w:hint="eastAsia" w:ascii="仿宋" w:hAnsi="仿宋" w:eastAsia="仿宋" w:cs="仿宋_GB2312"/>
          <w:color w:val="000000" w:themeColor="text1"/>
          <w:sz w:val="32"/>
          <w:szCs w:val="32"/>
          <w14:textFill>
            <w14:solidFill>
              <w14:schemeClr w14:val="tx1"/>
            </w14:solidFill>
          </w14:textFill>
        </w:rPr>
        <w:t>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w:t>
      </w:r>
      <w:r>
        <w:rPr>
          <w:rFonts w:hint="eastAsia" w:ascii="仿宋" w:hAnsi="仿宋" w:eastAsia="仿宋" w:cs="仿宋_GB2312"/>
          <w:color w:val="auto"/>
          <w:kern w:val="2"/>
          <w:sz w:val="32"/>
          <w:szCs w:val="32"/>
          <w:lang w:val="en-US" w:eastAsia="zh-CN" w:bidi="ar"/>
        </w:rPr>
        <w:t>:</w:t>
      </w:r>
      <w:r>
        <w:rPr>
          <w:rFonts w:hint="eastAsia" w:ascii="仿宋" w:hAnsi="仿宋" w:eastAsia="仿宋" w:cs="仿宋_GB2312"/>
          <w:color w:val="000000" w:themeColor="text1"/>
          <w:sz w:val="32"/>
          <w:szCs w:val="32"/>
          <w14:textFill>
            <w14:solidFill>
              <w14:schemeClr w14:val="tx1"/>
            </w14:solidFill>
          </w14:textFill>
        </w:rPr>
        <w:t>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w:t>
      </w:r>
      <w:r>
        <w:rPr>
          <w:rFonts w:hint="eastAsia" w:ascii="仿宋" w:hAnsi="仿宋" w:eastAsia="仿宋" w:cs="仿宋_GB2312"/>
          <w:color w:val="auto"/>
          <w:kern w:val="2"/>
          <w:sz w:val="32"/>
          <w:szCs w:val="32"/>
          <w:lang w:val="en-US" w:eastAsia="zh-CN" w:bidi="ar"/>
        </w:rPr>
        <w:t>:</w:t>
      </w:r>
      <w:r>
        <w:rPr>
          <w:rFonts w:hint="eastAsia" w:ascii="仿宋" w:hAnsi="仿宋" w:eastAsia="仿宋" w:cs="仿宋_GB2312"/>
          <w:color w:val="000000" w:themeColor="text1"/>
          <w:sz w:val="32"/>
          <w:szCs w:val="32"/>
          <w14:textFill>
            <w14:solidFill>
              <w14:schemeClr w14:val="tx1"/>
            </w14:solidFill>
          </w14:textFill>
        </w:rPr>
        <w:t>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w:t>
      </w:r>
      <w:r>
        <w:rPr>
          <w:rFonts w:hint="eastAsia" w:ascii="仿宋" w:hAnsi="仿宋" w:eastAsia="仿宋" w:cs="仿宋_GB2312"/>
          <w:color w:val="auto"/>
          <w:kern w:val="2"/>
          <w:sz w:val="32"/>
          <w:szCs w:val="32"/>
          <w:lang w:val="en-US" w:eastAsia="zh-CN" w:bidi="ar"/>
        </w:rPr>
        <w:t>:</w:t>
      </w:r>
      <w:r>
        <w:rPr>
          <w:rFonts w:hint="eastAsia" w:ascii="仿宋" w:hAnsi="仿宋" w:eastAsia="仿宋" w:cs="仿宋_GB2312"/>
          <w:color w:val="000000" w:themeColor="text1"/>
          <w:sz w:val="32"/>
          <w:szCs w:val="32"/>
          <w14:textFill>
            <w14:solidFill>
              <w14:schemeClr w14:val="tx1"/>
            </w14:solidFill>
          </w14:textFill>
        </w:rPr>
        <w:t>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（二）支出预算总计36.9293万元万元。包括：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1．一般公共服务（类）支出36.9293万元，主要用于人员支出和公用支出。与上年相比增加1.754 万元，增长5%。主要原因是工资正常增长等原因。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w:t>
      </w:r>
      <w:r>
        <w:rPr>
          <w:rFonts w:hint="eastAsia" w:ascii="仿宋" w:hAnsi="仿宋" w:eastAsia="仿宋" w:cs="仿宋_GB2312"/>
          <w:color w:val="auto"/>
          <w:kern w:val="2"/>
          <w:sz w:val="32"/>
          <w:szCs w:val="32"/>
          <w:lang w:val="en-US" w:eastAsia="zh-CN" w:bidi="ar"/>
        </w:rPr>
        <w:t>:</w:t>
      </w:r>
      <w:r>
        <w:rPr>
          <w:rFonts w:hint="eastAsia" w:ascii="仿宋" w:hAnsi="仿宋" w:eastAsia="仿宋" w:cs="仿宋_GB2312"/>
          <w:color w:val="000000" w:themeColor="text1"/>
          <w:sz w:val="32"/>
          <w:szCs w:val="32"/>
          <w14:textFill>
            <w14:solidFill>
              <w14:schemeClr w14:val="tx1"/>
            </w14:solidFill>
          </w14:textFill>
        </w:rPr>
        <w:t>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w:t>
      </w:r>
      <w:r>
        <w:rPr>
          <w:rFonts w:hint="eastAsia" w:ascii="仿宋" w:hAnsi="仿宋" w:eastAsia="仿宋" w:cs="仿宋_GB2312"/>
          <w:color w:val="auto"/>
          <w:kern w:val="2"/>
          <w:sz w:val="32"/>
          <w:szCs w:val="32"/>
          <w:lang w:val="en-US" w:eastAsia="zh-CN" w:bidi="ar"/>
        </w:rPr>
        <w:t>:</w:t>
      </w:r>
      <w:r>
        <w:rPr>
          <w:rFonts w:hint="eastAsia" w:ascii="仿宋" w:hAnsi="仿宋" w:eastAsia="仿宋" w:cs="仿宋_GB2312"/>
          <w:color w:val="000000" w:themeColor="text1"/>
          <w:sz w:val="32"/>
          <w:szCs w:val="32"/>
          <w14:textFill>
            <w14:solidFill>
              <w14:schemeClr w14:val="tx1"/>
            </w14:solidFill>
          </w14:textFill>
        </w:rPr>
        <w:t>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此外，基本支出预算数为36.9293万元。与上年相比增加1.754 万元，增长5 %。主要原因是工资正常增长等原因。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项目支出预算数为5.2万元。与上年相比增加0 万元，增长0%。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w:t>
      </w:r>
      <w:r>
        <w:rPr>
          <w:rFonts w:hint="eastAsia" w:ascii="仿宋" w:hAnsi="仿宋" w:eastAsia="仿宋" w:cs="仿宋_GB2312"/>
          <w:color w:val="auto"/>
          <w:kern w:val="2"/>
          <w:sz w:val="32"/>
          <w:szCs w:val="32"/>
          <w:lang w:val="en-US" w:eastAsia="zh-CN" w:bidi="ar"/>
        </w:rPr>
        <w:t>:</w:t>
      </w:r>
      <w:r>
        <w:rPr>
          <w:rFonts w:hint="eastAsia" w:ascii="仿宋" w:hAnsi="仿宋" w:eastAsia="仿宋" w:cs="仿宋_GB2312"/>
          <w:color w:val="000000" w:themeColor="text1"/>
          <w:sz w:val="32"/>
          <w:szCs w:val="32"/>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2.4万元，较2019年减少1.2万元，其中：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0.2万元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0.1万元</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邮电费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0.05万元、差旅费0.13万元、维修费0.10万元、公务接待费0.05万元、劳务费1.36万元、福利费0.10万元、工会经费0.26万元、其他商品服务支出0.05万元</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w:t>
      </w:r>
      <w:r>
        <w:rPr>
          <w:rFonts w:hint="eastAsia" w:ascii="仿宋_GB2312" w:eastAsia="仿宋_GB2312" w:hAnsiTheme="minorEastAsia" w:cstheme="minorEastAsia"/>
          <w:color w:val="000000" w:themeColor="text1"/>
          <w:sz w:val="32"/>
          <w:szCs w:val="32"/>
          <w14:textFill>
            <w14:solidFill>
              <w14:schemeClr w14:val="tx1"/>
            </w14:solidFill>
          </w14:textFill>
        </w:rPr>
        <w:t>公用经费人均标准降低使所有的支出降低。</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ind w:firstLine="645"/>
        <w:rPr>
          <w:rFonts w:ascii="仿宋_GB2312" w:hAnsi="仿宋" w:eastAsia="仿宋_GB2312" w:cs="仿宋_GB2312"/>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年度政府采购安排本单位本年度</w:t>
      </w:r>
      <w:r>
        <w:rPr>
          <w:rFonts w:hint="eastAsia" w:ascii="仿宋_GB2312" w:hAnsi="仿宋" w:eastAsia="仿宋_GB2312" w:cs="仿宋_GB2312"/>
          <w:color w:val="000000" w:themeColor="text1"/>
          <w:sz w:val="32"/>
          <w:szCs w:val="32"/>
          <w14:textFill>
            <w14:solidFill>
              <w14:schemeClr w14:val="tx1"/>
            </w14:solidFill>
          </w14:textFill>
        </w:rPr>
        <w:t>无此项预算，故无此项说明。</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16.45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16.45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16.45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与上年相比，本年资产总额增加</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6.4</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default"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bidi="ar-SA"/>
          <w14:textFill>
            <w14:solidFill>
              <w14:schemeClr w14:val="tx1"/>
            </w14:solidFill>
          </w14:textFill>
        </w:rPr>
        <w:t>本单位本年度无重点项目支出预算，无此项说明。</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480元</w:t>
      </w:r>
      <w:r>
        <w:rPr>
          <w:rFonts w:hint="eastAsia" w:ascii="仿宋_GB2312" w:eastAsia="仿宋_GB2312" w:hAnsiTheme="minorEastAsia" w:cstheme="minorEastAsia"/>
          <w:color w:val="000000" w:themeColor="text1"/>
          <w:sz w:val="32"/>
          <w:szCs w:val="32"/>
          <w14:textFill>
            <w14:solidFill>
              <w14:schemeClr w14:val="tx1"/>
            </w14:solidFill>
          </w14:textFill>
        </w:rPr>
        <w:t>，较20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240</w:t>
      </w:r>
      <w:r>
        <w:rPr>
          <w:rFonts w:hint="eastAsia" w:ascii="仿宋_GB2312" w:eastAsia="仿宋_GB2312" w:hAnsiTheme="minorEastAsia" w:cstheme="minorEastAsia"/>
          <w:color w:val="000000" w:themeColor="text1"/>
          <w:sz w:val="32"/>
          <w:szCs w:val="32"/>
          <w14:textFill>
            <w14:solidFill>
              <w14:schemeClr w14:val="tx1"/>
            </w14:solidFill>
          </w14:textFill>
        </w:rPr>
        <w:t>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33</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left="-10" w:leftChars="0" w:firstLine="640" w:firstLineChars="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w:t>
      </w:r>
      <w:bookmarkStart w:id="0" w:name="_GoBack"/>
      <w:r>
        <w:rPr>
          <w:rFonts w:hint="eastAsia" w:ascii="仿宋_GB2312" w:eastAsia="仿宋_GB2312" w:hAnsiTheme="minorEastAsia" w:cstheme="minorEastAsia"/>
          <w:color w:val="auto"/>
          <w:sz w:val="32"/>
          <w:szCs w:val="32"/>
          <w:lang w:eastAsia="zh-CN"/>
        </w:rPr>
        <w:t>：</w:t>
      </w:r>
      <w:r>
        <w:rPr>
          <w:rFonts w:hint="eastAsia" w:ascii="仿宋_GB2312" w:hAnsi="仿宋_GB2312" w:eastAsia="仿宋_GB2312" w:cs="仿宋_GB2312"/>
          <w:color w:val="000000" w:themeColor="text1"/>
          <w:sz w:val="32"/>
          <w:szCs w:val="32"/>
          <w14:textFill>
            <w14:solidFill>
              <w14:schemeClr w14:val="tx1"/>
            </w14:solidFill>
          </w14:textFill>
        </w:rPr>
        <w:t>我单位本年度无项目支出预算，无此项说明。</w:t>
      </w:r>
    </w:p>
    <w:bookmarkEnd w:id="0"/>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480</w:t>
      </w:r>
      <w:r>
        <w:rPr>
          <w:rFonts w:hint="eastAsia" w:ascii="仿宋_GB2312" w:eastAsia="仿宋_GB2312" w:hAnsiTheme="minorEastAsia" w:cstheme="minorEastAsia"/>
          <w:color w:val="000000" w:themeColor="text1"/>
          <w:sz w:val="32"/>
          <w:szCs w:val="32"/>
          <w14:textFill>
            <w14:solidFill>
              <w14:schemeClr w14:val="tx1"/>
            </w14:solidFill>
          </w14:textFill>
        </w:rPr>
        <w:t>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240</w:t>
      </w:r>
      <w:r>
        <w:rPr>
          <w:rFonts w:hint="eastAsia" w:ascii="仿宋_GB2312" w:eastAsia="仿宋_GB2312" w:hAnsiTheme="minorEastAsia" w:cstheme="minorEastAsia"/>
          <w:color w:val="000000" w:themeColor="text1"/>
          <w:sz w:val="32"/>
          <w:szCs w:val="32"/>
          <w14:textFill>
            <w14:solidFill>
              <w14:schemeClr w14:val="tx1"/>
            </w14:solidFill>
          </w14:textFill>
        </w:rPr>
        <w:t>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33</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公用经费减少、</w:t>
      </w:r>
      <w:r>
        <w:rPr>
          <w:rFonts w:hint="eastAsia" w:ascii="仿宋_GB2312" w:eastAsia="仿宋_GB2312" w:hAnsiTheme="minorEastAsia" w:cstheme="minorEastAsia"/>
          <w:color w:val="000000" w:themeColor="text1"/>
          <w:sz w:val="32"/>
          <w:szCs w:val="32"/>
          <w14:textFill>
            <w14:solidFill>
              <w14:schemeClr w14:val="tx1"/>
            </w14:solidFill>
          </w14:textFill>
        </w:rPr>
        <w:t>专项活动减少。</w:t>
      </w:r>
    </w:p>
    <w:p>
      <w:pPr>
        <w:numPr>
          <w:ilvl w:val="0"/>
          <w:numId w:val="1"/>
        </w:num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w:t>
      </w:r>
      <w:r>
        <w:rPr>
          <w:rFonts w:hint="eastAsia" w:ascii="仿宋_GB2312" w:eastAsia="仿宋_GB2312" w:hAnsiTheme="minorEastAsia" w:cstheme="minorEastAsia"/>
          <w:color w:val="auto"/>
          <w:sz w:val="32"/>
          <w:szCs w:val="32"/>
          <w:lang w:eastAsia="zh-CN"/>
        </w:rPr>
        <w:t>：</w:t>
      </w:r>
      <w:r>
        <w:rPr>
          <w:rFonts w:hint="eastAsia" w:ascii="仿宋_GB2312" w:hAnsi="仿宋_GB2312" w:eastAsia="仿宋_GB2312" w:cs="仿宋_GB2312"/>
          <w:color w:val="000000" w:themeColor="text1"/>
          <w:sz w:val="32"/>
          <w:szCs w:val="32"/>
          <w14:textFill>
            <w14:solidFill>
              <w14:schemeClr w14:val="tx1"/>
            </w14:solidFill>
          </w14:textFill>
        </w:rPr>
        <w:t>我单位本年度无项目支出预算，无此项说明。</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B791136"/>
    <w:rsid w:val="1DF453AF"/>
    <w:rsid w:val="1E107510"/>
    <w:rsid w:val="1E643EFE"/>
    <w:rsid w:val="209E0EC3"/>
    <w:rsid w:val="22140CC1"/>
    <w:rsid w:val="24D63713"/>
    <w:rsid w:val="2A5C5D7E"/>
    <w:rsid w:val="2A937DAC"/>
    <w:rsid w:val="2DB60033"/>
    <w:rsid w:val="2F754CA8"/>
    <w:rsid w:val="2FB928F6"/>
    <w:rsid w:val="341824CB"/>
    <w:rsid w:val="343F3937"/>
    <w:rsid w:val="34D53928"/>
    <w:rsid w:val="36870474"/>
    <w:rsid w:val="37015ED3"/>
    <w:rsid w:val="39E01B38"/>
    <w:rsid w:val="3F3F27A2"/>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styleId="8">
    <w:name w:val="Hyperlink"/>
    <w:basedOn w:val="6"/>
    <w:qFormat/>
    <w:uiPriority w:val="99"/>
    <w:rPr>
      <w:rFonts w:cs="Times New Roman"/>
      <w:color w:val="0000FF"/>
      <w:u w:val="single"/>
    </w:rPr>
  </w:style>
  <w:style w:type="character" w:customStyle="1" w:styleId="9">
    <w:name w:val="页眉 字符"/>
    <w:basedOn w:val="6"/>
    <w:link w:val="3"/>
    <w:qFormat/>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99"/>
    <w:rPr>
      <w:rFonts w:asciiTheme="minorHAnsi" w:hAnsiTheme="minorHAnsi" w:eastAsiaTheme="minorEastAsia" w:cstheme="minorBidi"/>
      <w:kern w:val="2"/>
      <w:sz w:val="18"/>
      <w:szCs w:val="18"/>
    </w:rPr>
  </w:style>
  <w:style w:type="paragraph" w:customStyle="1" w:styleId="11">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小媛</cp:lastModifiedBy>
  <cp:lastPrinted>2019-09-11T06:01:00Z</cp:lastPrinted>
  <dcterms:modified xsi:type="dcterms:W3CDTF">2021-06-03T05:28:19Z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A445977DE9214B6C832B6341E4961CC8</vt:lpwstr>
  </property>
</Properties>
</file>