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古韩镇人民政府</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0" w:firstLineChars="200"/>
        <w:rPr>
          <w:rFonts w:hint="eastAsia" w:ascii="仿宋" w:hAnsi="仿宋" w:eastAsia="仿宋" w:cs="仿宋_GB2312"/>
          <w:color w:val="333333"/>
          <w:kern w:val="0"/>
          <w:sz w:val="32"/>
          <w:szCs w:val="32"/>
        </w:rPr>
      </w:pPr>
      <w:r>
        <w:rPr>
          <w:rFonts w:hint="eastAsia" w:ascii="仿宋" w:hAnsi="仿宋" w:eastAsia="仿宋" w:cs="仿宋_GB2312"/>
          <w:color w:val="333333"/>
          <w:kern w:val="0"/>
          <w:sz w:val="32"/>
          <w:szCs w:val="32"/>
        </w:rPr>
        <w:t>古韩镇属城郊型乡镇，也是全县的人口大镇、经济重镇、发展强镇，机关设在县城府前路296号，全镇共辖44个行政村，6个社区，29913户，88362人，其中农业人口41703人，区域面积120.3公里，耕地面积44440.19余亩。我镇为正科级单位，行政编制</w:t>
      </w:r>
      <w:r>
        <w:rPr>
          <w:rFonts w:ascii="仿宋" w:hAnsi="仿宋" w:eastAsia="仿宋" w:cs="仿宋_GB2312"/>
          <w:color w:val="333333"/>
          <w:kern w:val="0"/>
          <w:sz w:val="32"/>
          <w:szCs w:val="32"/>
        </w:rPr>
        <w:t>34</w:t>
      </w:r>
      <w:r>
        <w:rPr>
          <w:rFonts w:hint="eastAsia" w:ascii="仿宋" w:hAnsi="仿宋" w:eastAsia="仿宋" w:cs="仿宋_GB2312"/>
          <w:color w:val="333333"/>
          <w:kern w:val="0"/>
          <w:sz w:val="32"/>
          <w:szCs w:val="32"/>
        </w:rPr>
        <w:t>人、事业编制</w:t>
      </w:r>
      <w:r>
        <w:rPr>
          <w:rFonts w:ascii="仿宋" w:hAnsi="仿宋" w:eastAsia="仿宋" w:cs="仿宋_GB2312"/>
          <w:color w:val="333333"/>
          <w:kern w:val="0"/>
          <w:sz w:val="32"/>
          <w:szCs w:val="32"/>
        </w:rPr>
        <w:t>3</w:t>
      </w:r>
      <w:r>
        <w:rPr>
          <w:rFonts w:hint="eastAsia" w:ascii="仿宋" w:hAnsi="仿宋" w:eastAsia="仿宋" w:cs="仿宋_GB2312"/>
          <w:color w:val="333333"/>
          <w:kern w:val="0"/>
          <w:sz w:val="32"/>
          <w:szCs w:val="32"/>
        </w:rPr>
        <w:t>8人。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1、执行本级人民代表大会的决议和上级国家行政机关的决定和命令，发布决定和命令。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2、执行本行政区域内的经济和社会发展计划，预算管理本行政区内的经济、教育、科学、文化、卫生、体育、事业和财政、民政、公安、司法行政、计划生育等行政工作。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3、保护社会主义全民所有的财产和劳动群众集体所有财产，维护社会秩序，保障人民的人生权利、民主权利和其它权利。</w:t>
      </w:r>
    </w:p>
    <w:p>
      <w:pPr>
        <w:ind w:firstLine="640" w:firstLineChars="20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4、办理上级人民政府交办的其它事项。</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32"/>
          <w:szCs w:val="32"/>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襄垣县古韩镇人民政府内设24个职能股室、站所分别为：党委办、行政办、扶贫办、财政所、财务科、企业安全办、自然资源所、教育办公室、农经站、劳保所、司法所、计生办、农科站、公路站、统计站、农机站、民政办、林管站、水管站、环卫站、工会、畜牧站、后勤中心、纪检办。</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auto"/>
          <w:kern w:val="2"/>
          <w:sz w:val="32"/>
          <w:szCs w:val="32"/>
          <w:lang w:val="en-US" w:eastAsia="zh-CN" w:bidi="ar"/>
        </w:rPr>
        <w:t>现有行政、事业编制72名，其中，行政编制34名，事业编制38名。实有6</w:t>
      </w:r>
      <w:r>
        <w:rPr>
          <w:rFonts w:hint="eastAsia" w:ascii="仿宋" w:hAnsi="仿宋" w:eastAsia="仿宋" w:cs="仿宋_GB2312"/>
          <w:color w:val="auto"/>
          <w:kern w:val="2"/>
          <w:sz w:val="32"/>
          <w:szCs w:val="32"/>
          <w:highlight w:val="none"/>
          <w:lang w:val="en-US" w:eastAsia="zh-CN" w:bidi="ar"/>
        </w:rPr>
        <w:t>5人，其中公务员31名，事业人员38名。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襄垣县古韩镇人民政府2020年度收入、支出预算3823.32万元，与上年相比收、支预算总计各增加1003.94万元，增长35.61%。其中：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（一）收入预算总计3823.32万元。包括：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1．财政拨款收入预算总计3823.32万元。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（1）一般公共预算收入预算3823.32万元，与上年相比增加1003.94万元，增长35.61%。主要原因是工资正常增长以及新增2019年项目支出等原因。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（2）政府性基金收入预算0万元，与上年相比减少0万元，减少0%。主要原因是</w:t>
      </w:r>
      <w:r>
        <w:rPr>
          <w:rFonts w:hint="eastAsia" w:ascii="仿宋_GB2312" w:eastAsia="仿宋_GB2312" w:hAnsiTheme="minorEastAsia" w:cstheme="minorEastAsia"/>
          <w:color w:val="auto"/>
          <w:sz w:val="32"/>
          <w:szCs w:val="32"/>
          <w:lang w:eastAsia="zh-CN"/>
        </w:rPr>
        <w:t>本年度无此项预算</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2．财政专户管理资金收入预算总计0万元。与上年相比增加0万元，增长0%。主要原因是</w:t>
      </w:r>
      <w:r>
        <w:rPr>
          <w:rFonts w:hint="eastAsia" w:ascii="仿宋_GB2312" w:eastAsia="仿宋_GB2312" w:hAnsiTheme="minorEastAsia" w:cstheme="minorEastAsia"/>
          <w:color w:val="auto"/>
          <w:sz w:val="32"/>
          <w:szCs w:val="32"/>
          <w:lang w:eastAsia="zh-CN"/>
        </w:rPr>
        <w:t>本年度无此项预算</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3．其他资金收入预算总计0万元。与上年相比减少0万元，减少0%。主要原因是无其他资金收入预算。</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auto"/>
          <w:kern w:val="2"/>
          <w:sz w:val="32"/>
          <w:szCs w:val="32"/>
          <w:lang w:val="en-US" w:eastAsia="zh-CN" w:bidi="ar"/>
        </w:rPr>
        <w:t>4．上年结转资金预算数为0万元。与上年相比减少0万元，减少0%。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（二）支出预算总计3823.32万元。包括：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auto"/>
          <w:kern w:val="2"/>
          <w:sz w:val="32"/>
          <w:szCs w:val="32"/>
          <w:lang w:val="en-US" w:eastAsia="zh-CN" w:bidi="ar"/>
        </w:rPr>
        <w:t>1．一般公共服务（类）支出974.28万元，主要用于机关经费及人员费用。与上年相比增加327.54万元，增加50.64%。主要原因是人员增加。</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w:t>
      </w:r>
      <w:r>
        <w:rPr>
          <w:rFonts w:hint="eastAsia" w:ascii="仿宋" w:hAnsi="仿宋" w:eastAsia="仿宋" w:cs="仿宋_GB2312"/>
          <w:color w:val="auto"/>
          <w:kern w:val="2"/>
          <w:sz w:val="32"/>
          <w:szCs w:val="32"/>
          <w:lang w:val="en-US" w:eastAsia="zh-CN" w:bidi="ar"/>
        </w:rPr>
        <w:t>公共安全（类）支出1.17万元，主要用于禁毒活动支出。与上年相比减少0.61万元，减少34.27%。</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此外，基本支出预算数为1077.11万元。与上年相比增加327.54万元，增长50.64%。主要原因是人员增加。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项目支出预算数为2746.21万元。与上年相比增加689.4万元，增长33.52%。主要原因是新增重点项目支出。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单位预留机动经费预算数为5万元。与上年相比增加0万元，增加0%。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125万元，较2019年减少15万元，其中：办公费34.22万元、印刷费21万元、 水费0.8万元、邮电费1.9万元、差旅费1.5万元、物业管理费9.6万元、会议费1万元、培训费0.12万元、劳务费4.6万元、工会经费6.16万元、公务用车运行维护费3.5万元、其他商品和服务支出40.6万元。</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21</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84.24</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84.24</w:t>
      </w:r>
      <w:r>
        <w:rPr>
          <w:rFonts w:hint="eastAsia" w:ascii="仿宋_GB2312" w:eastAsia="仿宋_GB2312" w:hAnsiTheme="minorEastAsia" w:cstheme="minorEastAsia"/>
          <w:color w:val="auto"/>
          <w:sz w:val="32"/>
          <w:szCs w:val="32"/>
        </w:rPr>
        <w:t>万元、政府采购工程支出0万元、政府采购服务支出0万元。授予中小企业合同金额</w:t>
      </w:r>
      <w:r>
        <w:rPr>
          <w:rFonts w:hint="eastAsia" w:ascii="仿宋_GB2312" w:eastAsia="仿宋_GB2312" w:hAnsiTheme="minorEastAsia" w:cstheme="minorEastAsia"/>
          <w:color w:val="auto"/>
          <w:sz w:val="32"/>
          <w:szCs w:val="32"/>
          <w:lang w:val="en-US" w:eastAsia="zh-CN"/>
        </w:rPr>
        <w:t>84.24</w:t>
      </w:r>
      <w:r>
        <w:rPr>
          <w:rFonts w:hint="eastAsia" w:ascii="仿宋_GB2312" w:eastAsia="仿宋_GB2312" w:hAnsiTheme="minorEastAsia" w:cstheme="minorEastAsia"/>
          <w:color w:val="auto"/>
          <w:sz w:val="32"/>
          <w:szCs w:val="32"/>
        </w:rPr>
        <w:t>万元，占政府采购支出总额的</w:t>
      </w:r>
      <w:r>
        <w:rPr>
          <w:rFonts w:hint="eastAsia" w:ascii="仿宋_GB2312" w:eastAsia="仿宋_GB2312" w:hAnsiTheme="minorEastAsia" w:cstheme="minorEastAsia"/>
          <w:color w:val="auto"/>
          <w:sz w:val="32"/>
          <w:szCs w:val="32"/>
          <w:lang w:val="en-US" w:eastAsia="zh-CN"/>
        </w:rPr>
        <w:t>10</w:t>
      </w:r>
      <w:r>
        <w:rPr>
          <w:rFonts w:hint="eastAsia" w:ascii="仿宋_GB2312" w:eastAsia="仿宋_GB2312" w:hAnsiTheme="minorEastAsia" w:cstheme="minorEastAsia"/>
          <w:color w:val="auto"/>
          <w:sz w:val="32"/>
          <w:szCs w:val="32"/>
        </w:rPr>
        <w:t>0%。</w:t>
      </w:r>
      <w:bookmarkStart w:id="0" w:name="_GoBack"/>
      <w:bookmarkEnd w:id="0"/>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2620.85</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2043.44</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227.31</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349.76</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15.75</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0.24</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211.32</w:t>
      </w:r>
      <w:r>
        <w:rPr>
          <w:rFonts w:hint="eastAsia" w:ascii="仿宋_GB2312" w:hAnsi="仿宋_GB2312" w:eastAsia="仿宋_GB2312" w:cs="仿宋_GB2312"/>
          <w:color w:val="auto"/>
          <w:sz w:val="32"/>
          <w:szCs w:val="32"/>
          <w:shd w:val="clear" w:color="auto" w:fill="FFFFFF"/>
        </w:rPr>
        <w:t>万元。 与上年相比，本年资产总额</w:t>
      </w:r>
      <w:r>
        <w:rPr>
          <w:rFonts w:hint="eastAsia" w:ascii="仿宋_GB2312" w:hAnsi="仿宋_GB2312" w:eastAsia="仿宋_GB2312" w:cs="仿宋_GB2312"/>
          <w:color w:val="auto"/>
          <w:sz w:val="32"/>
          <w:szCs w:val="32"/>
          <w:shd w:val="clear" w:color="auto" w:fill="FFFFFF"/>
          <w:lang w:val="en-US" w:eastAsia="zh-CN"/>
        </w:rPr>
        <w:t>减少74.25</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eastAsia" w:ascii="仿宋" w:hAnsi="仿宋" w:eastAsia="仿宋" w:cs="Arial"/>
          <w:kern w:val="0"/>
          <w:sz w:val="32"/>
          <w:szCs w:val="32"/>
        </w:rPr>
      </w:pPr>
      <w:r>
        <w:rPr>
          <w:rFonts w:hint="eastAsia" w:ascii="仿宋" w:hAnsi="仿宋" w:eastAsia="仿宋" w:cs="Arial"/>
          <w:kern w:val="0"/>
          <w:sz w:val="32"/>
          <w:szCs w:val="32"/>
        </w:rPr>
        <w:t>我单位本年度项目支出2677.78万元，其中：重点项目支出1494.2万元，共涉及以下七个项目具体执行进度、使用绩效等情况）说明如下：</w:t>
      </w:r>
    </w:p>
    <w:p>
      <w:pPr>
        <w:ind w:firstLine="640" w:firstLineChars="200"/>
        <w:rPr>
          <w:rFonts w:ascii="仿宋" w:hAnsi="仿宋" w:eastAsia="仿宋" w:cs="Arial"/>
          <w:kern w:val="0"/>
          <w:sz w:val="32"/>
          <w:szCs w:val="32"/>
        </w:rPr>
      </w:pPr>
      <w:r>
        <w:rPr>
          <w:rFonts w:hint="eastAsia" w:ascii="仿宋" w:hAnsi="仿宋" w:eastAsia="仿宋" w:cs="Arial"/>
          <w:kern w:val="0"/>
          <w:sz w:val="32"/>
          <w:szCs w:val="32"/>
        </w:rPr>
        <w:t>1、襄黎线道路拓宽改造工程，本次支付5000000元。该工程是我县2018年36项重点工程，工程涉及北里信村66户农户拆迁。根据拆迁方案，对被拆迁户进行统一回迁安置。工程共66栋独院式住宅，建筑物平面形状呈矩形，长约12.5米，宽均约10米，地上二层，院宽均为6米，建筑总高度约8米，砖混结构。共计工程款15225700万元。做好被拆迁居民回迁工作，维护广大群众的切身利益，确保回迁安置工作有序平稳开展。</w:t>
      </w:r>
    </w:p>
    <w:p>
      <w:pPr>
        <w:ind w:firstLine="640" w:firstLineChars="200"/>
        <w:rPr>
          <w:rFonts w:ascii="仿宋" w:hAnsi="仿宋" w:eastAsia="仿宋" w:cs="Arial"/>
          <w:kern w:val="0"/>
          <w:sz w:val="32"/>
          <w:szCs w:val="32"/>
        </w:rPr>
      </w:pPr>
      <w:r>
        <w:rPr>
          <w:rFonts w:hint="eastAsia" w:ascii="仿宋" w:hAnsi="仿宋" w:eastAsia="仿宋" w:cs="仿宋_GB2312"/>
          <w:sz w:val="32"/>
          <w:szCs w:val="32"/>
        </w:rPr>
        <w:t>2、</w:t>
      </w:r>
      <w:r>
        <w:rPr>
          <w:rFonts w:hint="eastAsia" w:ascii="仿宋" w:hAnsi="仿宋" w:eastAsia="仿宋" w:cs="Arial"/>
          <w:kern w:val="0"/>
          <w:sz w:val="32"/>
          <w:szCs w:val="32"/>
        </w:rPr>
        <w:t>古韩镇南丰村-南丰沟村道路改造工程，本次支付1000000元。工程起点位于南丰村村委会，线路走向由北向南，在南丰村北与富垣大道相交，终点位于南丰沟村连氏宗祠，路基宽4.5米--6米，全长1.408公里。为四级公路标准。现已完工并验收合格。工程审定金额3249600元。积极推动公路网的合理布局，确保公路网建设均衡协调发展。</w:t>
      </w:r>
    </w:p>
    <w:p>
      <w:pPr>
        <w:ind w:firstLine="640" w:firstLineChars="200"/>
        <w:rPr>
          <w:rFonts w:hint="eastAsia" w:ascii="仿宋" w:hAnsi="仿宋" w:eastAsia="仿宋" w:cs="Arial"/>
          <w:kern w:val="0"/>
          <w:sz w:val="32"/>
          <w:szCs w:val="32"/>
        </w:rPr>
      </w:pPr>
      <w:r>
        <w:rPr>
          <w:rFonts w:hint="eastAsia" w:ascii="仿宋" w:hAnsi="仿宋" w:eastAsia="仿宋" w:cs="Arial"/>
          <w:kern w:val="0"/>
          <w:sz w:val="32"/>
          <w:szCs w:val="32"/>
        </w:rPr>
        <w:t>3、二小学及城隍庙拆除工程属府前路拓宽改造后续工程，本次支付1259784.8元。该工程项目2018年必须完工的36项重点工程，按照县委、县政府常务会议要求，拆除及清运工作由我镇负责实施。该项目涉及建筑物拆除面积近11万平方米，清运垃圾9万余立方米，并对周边实施了围挡，工程完工后经审计费用共计11134227.96元。进一步加快市民中心建设；为市民提供良好的公共活动环境；为各类人员提的工作和生活提供舒适的空间。</w:t>
      </w:r>
    </w:p>
    <w:p>
      <w:pPr>
        <w:rPr>
          <w:rFonts w:ascii="仿宋" w:hAnsi="仿宋" w:eastAsia="仿宋" w:cs="Arial"/>
          <w:kern w:val="0"/>
          <w:sz w:val="32"/>
          <w:szCs w:val="32"/>
        </w:rPr>
      </w:pPr>
      <w:r>
        <w:rPr>
          <w:rFonts w:hint="eastAsia"/>
        </w:rPr>
        <w:t xml:space="preserve">  </w:t>
      </w:r>
      <w:r>
        <w:rPr>
          <w:rFonts w:hint="eastAsia" w:ascii="仿宋" w:hAnsi="仿宋" w:eastAsia="仿宋"/>
        </w:rPr>
        <w:t xml:space="preserve">  </w:t>
      </w:r>
      <w:r>
        <w:rPr>
          <w:rFonts w:hint="eastAsia" w:ascii="仿宋" w:hAnsi="仿宋" w:eastAsia="仿宋"/>
          <w:sz w:val="32"/>
          <w:szCs w:val="32"/>
        </w:rPr>
        <w:t xml:space="preserve"> 4、基层党建服务中心示范点建设项目，本次支付1300000元。该项目是我镇按照县委、县政府关于“1+9+X”党建服务中心示范点建设要求，2018年先后打造和建设了多个高标准党群服务中心，涉及小垴村、永安社区、栗家岭村、开元社区等，总投资7600000元 ，其中镇级自筹4300000元。</w:t>
      </w:r>
      <w:r>
        <w:rPr>
          <w:rFonts w:hint="eastAsia" w:ascii="仿宋" w:hAnsi="仿宋" w:eastAsia="仿宋" w:cs="Arial"/>
          <w:kern w:val="0"/>
          <w:sz w:val="32"/>
          <w:szCs w:val="32"/>
        </w:rPr>
        <w:t>加强党对基层治理的全面领导，进一步健全村社区管理体制机制，提升服务功能。</w:t>
      </w:r>
    </w:p>
    <w:p>
      <w:pPr>
        <w:ind w:firstLine="960" w:firstLineChars="300"/>
        <w:rPr>
          <w:rFonts w:hint="eastAsia" w:ascii="仿宋" w:hAnsi="仿宋" w:eastAsia="仿宋"/>
          <w:sz w:val="32"/>
          <w:szCs w:val="32"/>
        </w:rPr>
      </w:pPr>
      <w:r>
        <w:rPr>
          <w:rFonts w:hint="eastAsia" w:ascii="仿宋" w:hAnsi="仿宋" w:eastAsia="仿宋"/>
          <w:sz w:val="32"/>
          <w:szCs w:val="32"/>
        </w:rPr>
        <w:t>5、美丽乡村建设项目，本次支付2640973.52元。该项目涉及村庄园林绿化、微景观、休闲采摘园、小公园等项目工程建设，工程款总计4379747.42元。拓宽农民增收渠道、带动当地人气，拉动乡村旅游促进农民增收等。</w:t>
      </w:r>
    </w:p>
    <w:p>
      <w:pPr>
        <w:rPr>
          <w:rFonts w:hint="eastAsia" w:ascii="仿宋" w:hAnsi="仿宋" w:eastAsia="仿宋"/>
          <w:sz w:val="32"/>
          <w:szCs w:val="32"/>
        </w:rPr>
      </w:pPr>
      <w:r>
        <w:rPr>
          <w:rFonts w:hint="eastAsia"/>
        </w:rPr>
        <w:t xml:space="preserve">      </w:t>
      </w:r>
      <w:r>
        <w:rPr>
          <w:rFonts w:hint="eastAsia" w:ascii="仿宋" w:hAnsi="仿宋" w:eastAsia="仿宋"/>
          <w:sz w:val="32"/>
          <w:szCs w:val="32"/>
        </w:rPr>
        <w:t xml:space="preserve"> 6、南关老街临街建筑物改造项目及前期费用，本次支付2791241.68元。该工程属于2018年县重点工程项目，按照县委县政府及县历史文化街区修复改造工程领导组要求，南关老街临街建筑物改造工程由我镇实施，已全部完工并通过验收。工程审定资金及前期费用共计2791241.68元。不仅保护历史痕迹，更为打造城市名片提供了长足动力，带来不可估量的经济效益、社会效益和环境效益。</w:t>
      </w:r>
    </w:p>
    <w:p>
      <w:pPr>
        <w:ind w:firstLine="640" w:firstLineChars="200"/>
        <w:rPr>
          <w:rFonts w:ascii="仿宋" w:hAnsi="仿宋" w:eastAsia="仿宋"/>
          <w:sz w:val="32"/>
          <w:szCs w:val="32"/>
        </w:rPr>
      </w:pPr>
      <w:r>
        <w:rPr>
          <w:rFonts w:hint="eastAsia" w:ascii="仿宋" w:hAnsi="仿宋" w:eastAsia="仿宋"/>
          <w:sz w:val="32"/>
          <w:szCs w:val="32"/>
        </w:rPr>
        <w:t>7、东山林区防火通道三期工程，本次支付950000元。该工程主要包括北岭至王家峪段3.31公里的水泥路路基及铺装等。现路基及路面铺装全部完工，待验收。工程中标价3674060.01元。该工程完工后，能更加有效促进林区防火与扑救工作，有利于更好的开展日常林区巡护工作。</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w:t>
      </w:r>
      <w:r>
        <w:rPr>
          <w:rFonts w:hint="eastAsia" w:ascii="仿宋_GB2312" w:eastAsia="仿宋_GB2312" w:hAnsiTheme="minorEastAsia" w:cstheme="minorEastAsia"/>
          <w:color w:val="auto"/>
          <w:sz w:val="32"/>
          <w:szCs w:val="32"/>
          <w:lang w:val="en-US" w:eastAsia="zh-CN"/>
        </w:rPr>
        <w:t>2020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3.5</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比去年下降</w:t>
      </w:r>
      <w:r>
        <w:rPr>
          <w:rFonts w:hint="eastAsia" w:ascii="仿宋_GB2312" w:eastAsia="仿宋_GB2312" w:hAnsiTheme="minorEastAsia" w:cstheme="minorEastAsia"/>
          <w:color w:val="auto"/>
          <w:sz w:val="32"/>
          <w:szCs w:val="32"/>
          <w:lang w:val="en-US" w:eastAsia="zh-CN"/>
        </w:rPr>
        <w:t>12.5%</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3.5</w:t>
      </w:r>
      <w:r>
        <w:rPr>
          <w:rFonts w:hint="eastAsia" w:ascii="仿宋_GB2312" w:eastAsia="仿宋_GB2312" w:hAnsiTheme="minorEastAsia" w:cstheme="minorEastAsia"/>
          <w:color w:val="auto"/>
          <w:sz w:val="32"/>
          <w:szCs w:val="32"/>
        </w:rPr>
        <w:t>万元，其中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年增加0万元，增加0%；公务用车运行维护费支出年初预算数为</w:t>
      </w:r>
      <w:r>
        <w:rPr>
          <w:rFonts w:hint="eastAsia" w:ascii="仿宋_GB2312" w:eastAsia="仿宋_GB2312" w:hAnsiTheme="minorEastAsia" w:cstheme="minorEastAsia"/>
          <w:color w:val="auto"/>
          <w:sz w:val="32"/>
          <w:szCs w:val="32"/>
          <w:lang w:val="en-US" w:eastAsia="zh-CN"/>
        </w:rPr>
        <w:t>3.5</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减少</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2辆，公务用车保有量2辆。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asciiTheme="minorEastAsia" w:hAnsiTheme="minorEastAsia" w:cstheme="minorEastAsia"/>
          <w:sz w:val="32"/>
          <w:szCs w:val="32"/>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AAB5134"/>
    <w:rsid w:val="0BB243E5"/>
    <w:rsid w:val="0C5A5250"/>
    <w:rsid w:val="0C64513E"/>
    <w:rsid w:val="0DE649EC"/>
    <w:rsid w:val="0EE25EB1"/>
    <w:rsid w:val="0EE33425"/>
    <w:rsid w:val="10CB3E8D"/>
    <w:rsid w:val="11F35FF2"/>
    <w:rsid w:val="179A58B8"/>
    <w:rsid w:val="17D1576D"/>
    <w:rsid w:val="198226ED"/>
    <w:rsid w:val="1B4A6025"/>
    <w:rsid w:val="1DF453AF"/>
    <w:rsid w:val="1E107510"/>
    <w:rsid w:val="1E643EFE"/>
    <w:rsid w:val="209E0EC3"/>
    <w:rsid w:val="22140CC1"/>
    <w:rsid w:val="24D63713"/>
    <w:rsid w:val="2A937DAC"/>
    <w:rsid w:val="2DB60033"/>
    <w:rsid w:val="2DF214E1"/>
    <w:rsid w:val="2F754CA8"/>
    <w:rsid w:val="2FB928F6"/>
    <w:rsid w:val="325427AF"/>
    <w:rsid w:val="341824CB"/>
    <w:rsid w:val="343F3937"/>
    <w:rsid w:val="34D53928"/>
    <w:rsid w:val="36870474"/>
    <w:rsid w:val="37015ED3"/>
    <w:rsid w:val="39E01B38"/>
    <w:rsid w:val="3C297561"/>
    <w:rsid w:val="3F2157E1"/>
    <w:rsid w:val="3F5C42DA"/>
    <w:rsid w:val="43E475B8"/>
    <w:rsid w:val="4418379C"/>
    <w:rsid w:val="458B37F5"/>
    <w:rsid w:val="467D2DBE"/>
    <w:rsid w:val="48832669"/>
    <w:rsid w:val="48E87EB6"/>
    <w:rsid w:val="4A4F3891"/>
    <w:rsid w:val="4AFA4BB2"/>
    <w:rsid w:val="4D9B3CEE"/>
    <w:rsid w:val="4EBA5260"/>
    <w:rsid w:val="522F50B0"/>
    <w:rsid w:val="52567629"/>
    <w:rsid w:val="57C66A50"/>
    <w:rsid w:val="582B68F4"/>
    <w:rsid w:val="587B2D66"/>
    <w:rsid w:val="5D083F24"/>
    <w:rsid w:val="5D306324"/>
    <w:rsid w:val="5E0B45F3"/>
    <w:rsid w:val="60860A87"/>
    <w:rsid w:val="60B46440"/>
    <w:rsid w:val="60FE2F14"/>
    <w:rsid w:val="61C6166E"/>
    <w:rsid w:val="635C762A"/>
    <w:rsid w:val="67C327C6"/>
    <w:rsid w:val="6DD81AB3"/>
    <w:rsid w:val="6DF4421D"/>
    <w:rsid w:val="6EDD5ADA"/>
    <w:rsid w:val="6FD93AE0"/>
    <w:rsid w:val="71715484"/>
    <w:rsid w:val="71FC58C7"/>
    <w:rsid w:val="7249546B"/>
    <w:rsid w:val="729F0AAD"/>
    <w:rsid w:val="75F45C0F"/>
    <w:rsid w:val="7BCD271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2021-06-03T09:43:36Z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