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000000" w:themeColor="text1"/>
          <w:sz w:val="32"/>
          <w:szCs w:val="32"/>
          <w:lang w:eastAsia="zh-CN"/>
          <w14:textFill>
            <w14:solidFill>
              <w14:schemeClr w14:val="tx1"/>
            </w14:solidFill>
          </w14:textFill>
        </w:rPr>
      </w:pPr>
    </w:p>
    <w:p>
      <w:pPr>
        <w:jc w:val="center"/>
        <w:rPr>
          <w:rFonts w:hint="eastAsia" w:ascii="黑体" w:hAnsi="黑体" w:eastAsia="黑体" w:cs="黑体"/>
          <w:color w:val="000000" w:themeColor="text1"/>
          <w:sz w:val="44"/>
          <w:szCs w:val="44"/>
          <w:lang w:eastAsia="zh-CN"/>
          <w14:textFill>
            <w14:solidFill>
              <w14:schemeClr w14:val="tx1"/>
            </w14:solidFill>
          </w14:textFill>
        </w:rPr>
      </w:pPr>
      <w:r>
        <w:rPr>
          <w:rFonts w:hint="eastAsia" w:ascii="黑体" w:hAnsi="黑体" w:eastAsia="黑体" w:cs="黑体"/>
          <w:color w:val="000000" w:themeColor="text1"/>
          <w:sz w:val="44"/>
          <w:szCs w:val="44"/>
          <w:lang w:eastAsia="zh-CN"/>
          <w14:textFill>
            <w14:solidFill>
              <w14:schemeClr w14:val="tx1"/>
            </w14:solidFill>
          </w14:textFill>
        </w:rPr>
        <w:t>襄垣</w:t>
      </w:r>
      <w:r>
        <w:rPr>
          <w:rFonts w:hint="eastAsia" w:ascii="黑体" w:hAnsi="黑体" w:eastAsia="黑体" w:cs="黑体"/>
          <w:color w:val="000000" w:themeColor="text1"/>
          <w:sz w:val="44"/>
          <w:szCs w:val="44"/>
          <w14:textFill>
            <w14:solidFill>
              <w14:schemeClr w14:val="tx1"/>
            </w14:solidFill>
          </w14:textFill>
        </w:rPr>
        <w:t>县</w:t>
      </w:r>
      <w:r>
        <w:rPr>
          <w:rFonts w:hint="eastAsia" w:ascii="黑体" w:hAnsi="黑体" w:eastAsia="黑体" w:cs="黑体"/>
          <w:color w:val="000000" w:themeColor="text1"/>
          <w:sz w:val="44"/>
          <w:szCs w:val="44"/>
          <w:lang w:eastAsia="zh-CN"/>
          <w14:textFill>
            <w14:solidFill>
              <w14:schemeClr w14:val="tx1"/>
            </w14:solidFill>
          </w14:textFill>
        </w:rPr>
        <w:t>政府国有资产监督管理局</w:t>
      </w:r>
    </w:p>
    <w:p>
      <w:pPr>
        <w:jc w:val="center"/>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20</w:t>
      </w:r>
      <w:r>
        <w:rPr>
          <w:rFonts w:hint="eastAsia" w:ascii="黑体" w:hAnsi="黑体" w:eastAsia="黑体" w:cs="黑体"/>
          <w:color w:val="000000" w:themeColor="text1"/>
          <w:sz w:val="44"/>
          <w:szCs w:val="44"/>
          <w:lang w:val="en-US" w:eastAsia="zh-CN"/>
          <w14:textFill>
            <w14:solidFill>
              <w14:schemeClr w14:val="tx1"/>
            </w14:solidFill>
          </w14:textFill>
        </w:rPr>
        <w:t>20</w:t>
      </w:r>
      <w:r>
        <w:rPr>
          <w:rFonts w:hint="eastAsia" w:ascii="黑体" w:hAnsi="黑体" w:eastAsia="黑体" w:cs="黑体"/>
          <w:color w:val="000000" w:themeColor="text1"/>
          <w:sz w:val="44"/>
          <w:szCs w:val="44"/>
          <w14:textFill>
            <w14:solidFill>
              <w14:schemeClr w14:val="tx1"/>
            </w14:solidFill>
          </w14:textFill>
        </w:rPr>
        <w:t>年部门</w:t>
      </w:r>
      <w:r>
        <w:rPr>
          <w:rFonts w:hint="eastAsia" w:ascii="黑体" w:hAnsi="黑体" w:eastAsia="黑体" w:cs="黑体"/>
          <w:color w:val="000000" w:themeColor="text1"/>
          <w:sz w:val="44"/>
          <w:szCs w:val="44"/>
          <w:lang w:eastAsia="zh-CN"/>
          <w14:textFill>
            <w14:solidFill>
              <w14:schemeClr w14:val="tx1"/>
            </w14:solidFill>
          </w14:textFill>
        </w:rPr>
        <w:t>预算</w:t>
      </w:r>
      <w:r>
        <w:rPr>
          <w:rFonts w:hint="eastAsia" w:ascii="黑体" w:hAnsi="黑体" w:eastAsia="黑体" w:cs="黑体"/>
          <w:color w:val="000000" w:themeColor="text1"/>
          <w:sz w:val="44"/>
          <w:szCs w:val="44"/>
          <w14:textFill>
            <w14:solidFill>
              <w14:schemeClr w14:val="tx1"/>
            </w14:solidFill>
          </w14:textFill>
        </w:rPr>
        <w:t>公开</w:t>
      </w:r>
      <w:r>
        <w:rPr>
          <w:rFonts w:hint="eastAsia" w:ascii="黑体" w:hAnsi="黑体" w:eastAsia="黑体" w:cs="黑体"/>
          <w:color w:val="000000" w:themeColor="text1"/>
          <w:sz w:val="44"/>
          <w:szCs w:val="44"/>
          <w:lang w:eastAsia="zh-CN"/>
          <w14:textFill>
            <w14:solidFill>
              <w14:schemeClr w14:val="tx1"/>
            </w14:solidFill>
          </w14:textFill>
        </w:rPr>
        <w:t>情况</w:t>
      </w:r>
      <w:r>
        <w:rPr>
          <w:rFonts w:hint="eastAsia" w:ascii="黑体" w:hAnsi="黑体" w:eastAsia="黑体" w:cs="黑体"/>
          <w:color w:val="000000" w:themeColor="text1"/>
          <w:sz w:val="44"/>
          <w:szCs w:val="44"/>
          <w14:textFill>
            <w14:solidFill>
              <w14:schemeClr w14:val="tx1"/>
            </w14:solidFill>
          </w14:textFill>
        </w:rPr>
        <w:t>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keepNext w:val="0"/>
        <w:keepLines w:val="0"/>
        <w:pageBreakBefore w:val="0"/>
        <w:numPr>
          <w:ilvl w:val="0"/>
          <w:numId w:val="1"/>
        </w:numPr>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部门主要职能</w:t>
      </w:r>
    </w:p>
    <w:p>
      <w:pPr>
        <w:pStyle w:val="4"/>
        <w:keepNext w:val="0"/>
        <w:keepLines w:val="0"/>
        <w:pageBreakBefore w:val="0"/>
        <w:kinsoku/>
        <w:wordWrap/>
        <w:overflowPunct/>
        <w:topLinePunct w:val="0"/>
        <w:autoSpaceDE/>
        <w:autoSpaceDN/>
        <w:bidi w:val="0"/>
        <w:adjustRightInd/>
        <w:snapToGrid/>
        <w:spacing w:before="0" w:beforeAutospacing="0" w:after="0" w:afterAutospacing="0" w:line="504" w:lineRule="atLeast"/>
        <w:ind w:firstLine="48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bCs w:val="0"/>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襄垣县</w:t>
      </w:r>
      <w:r>
        <w:rPr>
          <w:rFonts w:hint="eastAsia" w:ascii="仿宋" w:hAnsi="仿宋" w:eastAsia="仿宋" w:cs="仿宋"/>
          <w:color w:val="000000" w:themeColor="text1"/>
          <w:sz w:val="32"/>
          <w:szCs w:val="32"/>
          <w:lang w:eastAsia="zh-CN"/>
          <w14:textFill>
            <w14:solidFill>
              <w14:schemeClr w14:val="tx1"/>
            </w14:solidFill>
          </w14:textFill>
        </w:rPr>
        <w:t>国资局</w:t>
      </w:r>
      <w:r>
        <w:rPr>
          <w:rFonts w:hint="eastAsia" w:ascii="仿宋" w:hAnsi="仿宋" w:eastAsia="仿宋" w:cs="仿宋"/>
          <w:color w:val="000000" w:themeColor="text1"/>
          <w:sz w:val="32"/>
          <w:szCs w:val="32"/>
          <w14:textFill>
            <w14:solidFill>
              <w14:schemeClr w14:val="tx1"/>
            </w14:solidFill>
          </w14:textFill>
        </w:rPr>
        <w:t>，正科级建制，县人民政府工作部门。主要职责包括：</w:t>
      </w:r>
    </w:p>
    <w:p>
      <w:pPr>
        <w:pStyle w:val="4"/>
        <w:keepNext w:val="0"/>
        <w:keepLines w:val="0"/>
        <w:pageBreakBefore w:val="0"/>
        <w:kinsoku/>
        <w:wordWrap/>
        <w:overflowPunct/>
        <w:topLinePunct w:val="0"/>
        <w:autoSpaceDE/>
        <w:autoSpaceDN/>
        <w:bidi w:val="0"/>
        <w:adjustRightInd/>
        <w:snapToGrid/>
        <w:spacing w:before="0" w:beforeAutospacing="0" w:after="0" w:afterAutospacing="0" w:line="504" w:lineRule="atLeast"/>
        <w:ind w:firstLine="48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(一)根据县人民政府授权，依照《中华人民共和国公司法》《中华人民共和国企业国有资产法》等法律和行政法规履行出资人职责，监督县属企业(不含金融类企业)的国有资产，加强国有资产的管理工作。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04" w:lineRule="atLeas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承担监督所监管企业国有资产保值增值的责任。建立和完善国有资产保值增值指标体系，制订考核标准，通过统计、稽核对所监督企业国有资产的保值增值进行监管，负责所监管企业工资分配管理工作，制定所监管企业负责人收入分配政策并组织实施。</w:t>
      </w:r>
    </w:p>
    <w:p>
      <w:pPr>
        <w:pStyle w:val="4"/>
        <w:keepNext w:val="0"/>
        <w:keepLines w:val="0"/>
        <w:pageBreakBefore w:val="0"/>
        <w:kinsoku/>
        <w:wordWrap/>
        <w:overflowPunct/>
        <w:topLinePunct w:val="0"/>
        <w:autoSpaceDE/>
        <w:autoSpaceDN/>
        <w:bidi w:val="0"/>
        <w:adjustRightInd/>
        <w:snapToGrid/>
        <w:spacing w:before="0" w:beforeAutospacing="0" w:after="0" w:afterAutospacing="0" w:line="504" w:lineRule="atLeas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(三)指导推进国有企业改革和重组，推进国有企业的现代企业制度建设，完善公司治理结构，推动国有经济布局和结构的战略性调整。　</w:t>
      </w:r>
    </w:p>
    <w:p>
      <w:pPr>
        <w:keepNext w:val="0"/>
        <w:keepLines w:val="0"/>
        <w:pageBreakBefore w:val="0"/>
        <w:numPr>
          <w:ilvl w:val="0"/>
          <w:numId w:val="0"/>
        </w:numPr>
        <w:kinsoku/>
        <w:wordWrap/>
        <w:overflowPunct/>
        <w:topLinePunct w:val="0"/>
        <w:autoSpaceDE/>
        <w:autoSpaceDN/>
        <w:bidi w:val="0"/>
        <w:adjustRightInd/>
        <w:snapToGrid/>
        <w:textAlignment w:val="auto"/>
        <w:rPr>
          <w:rFonts w:hint="eastAsia" w:ascii="仿宋" w:hAnsi="仿宋" w:eastAsia="仿宋" w:cs="仿宋"/>
          <w:b/>
          <w:bCs w:val="0"/>
          <w:color w:val="000000" w:themeColor="text1"/>
          <w:sz w:val="32"/>
          <w:szCs w:val="32"/>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二、部门基本情况</w:t>
      </w:r>
    </w:p>
    <w:p>
      <w:pPr>
        <w:keepNext w:val="0"/>
        <w:keepLines w:val="0"/>
        <w:pageBreakBefore w:val="0"/>
        <w:widowControl/>
        <w:kinsoku/>
        <w:wordWrap/>
        <w:overflowPunct/>
        <w:topLinePunct w:val="0"/>
        <w:autoSpaceDE/>
        <w:autoSpaceDN/>
        <w:bidi w:val="0"/>
        <w:adjustRightInd/>
        <w:snapToGrid/>
        <w:spacing w:line="324" w:lineRule="atLeast"/>
        <w:ind w:left="540"/>
        <w:jc w:val="left"/>
        <w:textAlignment w:val="auto"/>
        <w:rPr>
          <w:rFonts w:hint="eastAsia" w:ascii="仿宋" w:hAnsi="仿宋" w:eastAsia="仿宋" w:cs="仿宋"/>
          <w:b w:val="0"/>
          <w:bCs/>
          <w:color w:val="000000" w:themeColor="text1"/>
          <w:kern w:val="0"/>
          <w:sz w:val="32"/>
          <w:szCs w:val="32"/>
          <w:lang w:eastAsia="zh-CN"/>
          <w14:textFill>
            <w14:solidFill>
              <w14:schemeClr w14:val="tx1"/>
            </w14:solidFill>
          </w14:textFill>
        </w:rPr>
      </w:pPr>
      <w:r>
        <w:rPr>
          <w:rFonts w:hint="eastAsia" w:ascii="仿宋" w:hAnsi="仿宋" w:eastAsia="仿宋" w:cs="仿宋"/>
          <w:b w:val="0"/>
          <w:bCs/>
          <w:color w:val="000000" w:themeColor="text1"/>
          <w:kern w:val="0"/>
          <w:sz w:val="32"/>
          <w:szCs w:val="32"/>
          <w14:textFill>
            <w14:solidFill>
              <w14:schemeClr w14:val="tx1"/>
            </w14:solidFill>
          </w14:textFill>
        </w:rPr>
        <w:t>（一）</w:t>
      </w:r>
      <w:r>
        <w:rPr>
          <w:rFonts w:hint="eastAsia" w:ascii="仿宋" w:hAnsi="仿宋" w:eastAsia="仿宋" w:cs="仿宋"/>
          <w:b w:val="0"/>
          <w:bCs/>
          <w:color w:val="000000" w:themeColor="text1"/>
          <w:kern w:val="0"/>
          <w:sz w:val="32"/>
          <w:szCs w:val="32"/>
          <w:lang w:eastAsia="zh-CN"/>
          <w14:textFill>
            <w14:solidFill>
              <w14:schemeClr w14:val="tx1"/>
            </w14:solidFill>
          </w14:textFill>
        </w:rPr>
        <w:t>机构设置情况</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批准内设机构3个，分别是：办公室</w:t>
      </w:r>
      <w:r>
        <w:rPr>
          <w:rFonts w:hint="eastAsia" w:ascii="仿宋" w:hAnsi="仿宋" w:eastAsia="仿宋" w:cs="仿宋"/>
          <w:color w:val="000000" w:themeColor="text1"/>
          <w:sz w:val="32"/>
          <w:szCs w:val="32"/>
          <w:lang w:eastAsia="zh-CN"/>
          <w14:textFill>
            <w14:solidFill>
              <w14:schemeClr w14:val="tx1"/>
            </w14:solidFill>
          </w14:textFill>
        </w:rPr>
        <w:t>：负责机关运转的日常工作；发展和改革股：审核监管企业发展战略和规划，对监管企业重大投资进行监管；产权和考核股：研究提出完善国有产权管理的意见，拟定企业国有产权管理的制度和办法。</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24" w:lineRule="atLeast"/>
        <w:ind w:left="540"/>
        <w:jc w:val="left"/>
        <w:textAlignment w:val="auto"/>
        <w:rPr>
          <w:rFonts w:hint="eastAsia" w:ascii="仿宋" w:hAnsi="仿宋" w:eastAsia="仿宋" w:cs="仿宋"/>
          <w:b w:val="0"/>
          <w:bCs/>
          <w:color w:val="000000" w:themeColor="text1"/>
          <w:kern w:val="0"/>
          <w:sz w:val="32"/>
          <w:szCs w:val="32"/>
          <w14:textFill>
            <w14:solidFill>
              <w14:schemeClr w14:val="tx1"/>
            </w14:solidFill>
          </w14:textFill>
        </w:rPr>
      </w:pPr>
      <w:r>
        <w:rPr>
          <w:rFonts w:hint="eastAsia" w:ascii="仿宋" w:hAnsi="仿宋" w:eastAsia="仿宋" w:cs="仿宋"/>
          <w:b w:val="0"/>
          <w:bCs/>
          <w:color w:val="000000" w:themeColor="text1"/>
          <w:kern w:val="0"/>
          <w:sz w:val="32"/>
          <w:szCs w:val="32"/>
          <w14:textFill>
            <w14:solidFill>
              <w14:schemeClr w14:val="tx1"/>
            </w14:solidFill>
          </w14:textFill>
        </w:rPr>
        <w:t>（二）人员情况说明</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现有行政、事业编制14名，其中，行政编制6名，事业编制8名。实有13人，其中公务员5名，事业人员8名。</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color w:val="000000" w:themeColor="text1"/>
          <w:sz w:val="32"/>
          <w:szCs w:val="32"/>
          <w:lang w:eastAsia="zh-CN"/>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三、预算收支增减变化情况说明</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襄垣县国资局2020年度收入、支出预算总计84.78万元，本单位于2019年3月成立、上一年度无预算，故本年度无增减变化情况说明。</w:t>
      </w:r>
    </w:p>
    <w:p>
      <w:pPr>
        <w:keepNext w:val="0"/>
        <w:keepLines w:val="0"/>
        <w:pageBreakBefore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收入预算总计84.78万元。</w:t>
      </w:r>
    </w:p>
    <w:p>
      <w:pPr>
        <w:keepNext w:val="0"/>
        <w:keepLines w:val="0"/>
        <w:pageBreakBefore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包括：</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1．财政拨款收入预算总计84.78万元。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（1）一般公共预算收入预算84.78万元，本单位于2019年3月成立、上一年度无预算，故本年度无增减变化情况说明。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（2）政府性基金收入预算0 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2．财政专户管理资金收入预算总计0万元。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3．其他资金收入预算总计0 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4．上年结转资金预算数为0万元。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（二）支出预算总计84.78万元。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包括：</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1．一般公共服务（类）支出 61.73万元，主要用于人员工资、日常工作经费。本单位于2019年3月成立、上一年度无预算，故本年度无增减变化情况说明。</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2．公共安全（类）支出0万元。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3．结转下年资金预算数为0万元。</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此外，基本支出预算数为4万元。本单位于2019年3月成立、上一年度无预算，故本年度无增减变化情况说明。</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项目支出预算数为84.78 万元。本单位于2019年3月成立、上一年度无预算，故本年度无增减变化情况说明。</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单位预留机动经费预算数为0万元。</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lang w:eastAsia="zh-CN"/>
          <w14:textFill>
            <w14:solidFill>
              <w14:schemeClr w14:val="tx1"/>
            </w14:solidFill>
          </w14:textFill>
        </w:rPr>
      </w:pPr>
      <w:r>
        <w:rPr>
          <w:rFonts w:hint="eastAsia" w:ascii="黑体" w:hAnsi="黑体" w:eastAsia="黑体" w:cs="黑体"/>
          <w:b w:val="0"/>
          <w:bCs/>
          <w:color w:val="000000" w:themeColor="text1"/>
          <w:sz w:val="32"/>
          <w:szCs w:val="32"/>
          <w:lang w:eastAsia="zh-CN"/>
          <w14:textFill>
            <w14:solidFill>
              <w14:schemeClr w14:val="tx1"/>
            </w14:solidFill>
          </w14:textFill>
        </w:rPr>
        <w:t>四</w:t>
      </w:r>
      <w:r>
        <w:rPr>
          <w:rFonts w:hint="eastAsia" w:ascii="黑体" w:hAnsi="黑体" w:eastAsia="黑体" w:cs="黑体"/>
          <w:b w:val="0"/>
          <w:bCs/>
          <w:color w:val="000000" w:themeColor="text1"/>
          <w:sz w:val="32"/>
          <w:szCs w:val="32"/>
          <w14:textFill>
            <w14:solidFill>
              <w14:schemeClr w14:val="tx1"/>
            </w14:solidFill>
          </w14:textFill>
        </w:rPr>
        <w:t>、</w:t>
      </w:r>
      <w:r>
        <w:rPr>
          <w:rFonts w:hint="eastAsia" w:ascii="黑体" w:hAnsi="黑体" w:eastAsia="黑体" w:cs="黑体"/>
          <w:b w:val="0"/>
          <w:bCs/>
          <w:color w:val="000000" w:themeColor="text1"/>
          <w:sz w:val="32"/>
          <w:szCs w:val="32"/>
          <w:lang w:eastAsia="zh-CN"/>
          <w14:textFill>
            <w14:solidFill>
              <w14:schemeClr w14:val="tx1"/>
            </w14:solidFill>
          </w14:textFill>
        </w:rPr>
        <w:t>机关运行经费安排情况说明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本单位</w:t>
      </w:r>
      <w:r>
        <w:rPr>
          <w:rFonts w:hint="eastAsia" w:ascii="仿宋" w:hAnsi="仿宋" w:eastAsia="仿宋" w:cs="仿宋"/>
          <w:color w:val="000000" w:themeColor="text1"/>
          <w:sz w:val="32"/>
          <w:szCs w:val="32"/>
          <w14:textFill>
            <w14:solidFill>
              <w14:schemeClr w14:val="tx1"/>
            </w14:solidFill>
          </w14:textFill>
        </w:rPr>
        <w:t>机关运行经费</w:t>
      </w:r>
      <w:r>
        <w:rPr>
          <w:rFonts w:hint="eastAsia" w:ascii="仿宋" w:hAnsi="仿宋" w:eastAsia="仿宋" w:cs="仿宋"/>
          <w:color w:val="000000" w:themeColor="text1"/>
          <w:sz w:val="32"/>
          <w:szCs w:val="32"/>
          <w:lang w:eastAsia="zh-CN"/>
          <w14:textFill>
            <w14:solidFill>
              <w14:schemeClr w14:val="tx1"/>
            </w14:solidFill>
          </w14:textFill>
        </w:rPr>
        <w:t>支出预算数为</w:t>
      </w:r>
      <w:r>
        <w:rPr>
          <w:rFonts w:hint="eastAsia" w:ascii="仿宋" w:hAnsi="仿宋" w:eastAsia="仿宋" w:cs="仿宋"/>
          <w:color w:val="000000" w:themeColor="text1"/>
          <w:sz w:val="32"/>
          <w:szCs w:val="32"/>
          <w:lang w:val="en-US" w:eastAsia="zh-CN"/>
          <w14:textFill>
            <w14:solidFill>
              <w14:schemeClr w14:val="tx1"/>
            </w14:solidFill>
          </w14:textFill>
        </w:rPr>
        <w:t>5.5万元，</w:t>
      </w: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本单位于2019年3月成立、上一年度无预算，故本年度无增减变化情况说明。</w:t>
      </w:r>
      <w:r>
        <w:rPr>
          <w:rFonts w:hint="eastAsia" w:ascii="仿宋" w:hAnsi="仿宋" w:eastAsia="仿宋" w:cs="仿宋"/>
          <w:color w:val="000000" w:themeColor="text1"/>
          <w:sz w:val="32"/>
          <w:szCs w:val="32"/>
          <w:lang w:val="en-US" w:eastAsia="zh-CN"/>
          <w14:textFill>
            <w14:solidFill>
              <w14:schemeClr w14:val="tx1"/>
            </w14:solidFill>
          </w14:textFill>
        </w:rPr>
        <w:t>其中：</w:t>
      </w:r>
      <w:r>
        <w:rPr>
          <w:rFonts w:hint="eastAsia" w:ascii="仿宋" w:hAnsi="仿宋" w:eastAsia="仿宋" w:cs="仿宋"/>
          <w:color w:val="000000" w:themeColor="text1"/>
          <w:sz w:val="32"/>
          <w:szCs w:val="32"/>
          <w14:textFill>
            <w14:solidFill>
              <w14:schemeClr w14:val="tx1"/>
            </w14:solidFill>
          </w14:textFill>
        </w:rPr>
        <w:t>办公费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1.4万元</w:t>
      </w:r>
      <w:r>
        <w:rPr>
          <w:rFonts w:hint="eastAsia" w:ascii="仿宋" w:hAnsi="仿宋" w:eastAsia="仿宋" w:cs="仿宋"/>
          <w:color w:val="000000" w:themeColor="text1"/>
          <w:sz w:val="32"/>
          <w:szCs w:val="32"/>
          <w14:textFill>
            <w14:solidFill>
              <w14:schemeClr w14:val="tx1"/>
            </w14:solidFill>
          </w14:textFill>
        </w:rPr>
        <w:t>、印刷费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0.5万元</w:t>
      </w:r>
      <w:r>
        <w:rPr>
          <w:rFonts w:hint="eastAsia" w:ascii="仿宋" w:hAnsi="仿宋" w:eastAsia="仿宋" w:cs="仿宋"/>
          <w:color w:val="000000" w:themeColor="text1"/>
          <w:sz w:val="32"/>
          <w:szCs w:val="32"/>
          <w14:textFill>
            <w14:solidFill>
              <w14:schemeClr w14:val="tx1"/>
            </w14:solidFill>
          </w14:textFill>
        </w:rPr>
        <w:t>、差旅费</w:t>
      </w:r>
      <w:r>
        <w:rPr>
          <w:rFonts w:hint="eastAsia" w:ascii="仿宋" w:hAnsi="仿宋" w:eastAsia="仿宋" w:cs="仿宋"/>
          <w:color w:val="000000" w:themeColor="text1"/>
          <w:sz w:val="32"/>
          <w:szCs w:val="32"/>
          <w:lang w:eastAsia="zh-CN"/>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0.3万元</w:t>
      </w:r>
      <w:r>
        <w:rPr>
          <w:rFonts w:hint="eastAsia" w:ascii="仿宋" w:hAnsi="仿宋" w:eastAsia="仿宋" w:cs="仿宋"/>
          <w:color w:val="000000" w:themeColor="text1"/>
          <w:sz w:val="32"/>
          <w:szCs w:val="32"/>
          <w14:textFill>
            <w14:solidFill>
              <w14:schemeClr w14:val="tx1"/>
            </w14:solidFill>
          </w14:textFill>
        </w:rPr>
        <w:t>等。</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五、</w:t>
      </w:r>
      <w:r>
        <w:rPr>
          <w:rFonts w:hint="eastAsia" w:ascii="黑体" w:hAnsi="黑体" w:eastAsia="黑体" w:cs="黑体"/>
          <w:b w:val="0"/>
          <w:bCs/>
          <w:color w:val="000000" w:themeColor="text1"/>
          <w:sz w:val="32"/>
          <w:szCs w:val="32"/>
          <w14:textFill>
            <w14:solidFill>
              <w14:schemeClr w14:val="tx1"/>
            </w14:solidFill>
          </w14:textFill>
        </w:rPr>
        <w:t>政府采购</w:t>
      </w:r>
      <w:r>
        <w:rPr>
          <w:rFonts w:hint="eastAsia" w:ascii="黑体" w:hAnsi="黑体" w:eastAsia="黑体" w:cs="黑体"/>
          <w:b w:val="0"/>
          <w:bCs/>
          <w:color w:val="000000" w:themeColor="text1"/>
          <w:sz w:val="32"/>
          <w:szCs w:val="32"/>
          <w:lang w:eastAsia="zh-CN"/>
          <w14:textFill>
            <w14:solidFill>
              <w14:schemeClr w14:val="tx1"/>
            </w14:solidFill>
          </w14:textFill>
        </w:rPr>
        <w:t>安排</w:t>
      </w:r>
      <w:r>
        <w:rPr>
          <w:rFonts w:hint="eastAsia" w:ascii="黑体" w:hAnsi="黑体" w:eastAsia="黑体" w:cs="黑体"/>
          <w:b w:val="0"/>
          <w:bCs/>
          <w:color w:val="000000" w:themeColor="text1"/>
          <w:sz w:val="32"/>
          <w:szCs w:val="32"/>
          <w14:textFill>
            <w14:solidFill>
              <w14:schemeClr w14:val="tx1"/>
            </w14:solidFill>
          </w14:textFill>
        </w:rPr>
        <w:t>情况说明</w:t>
      </w:r>
    </w:p>
    <w:p>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本部门20</w:t>
      </w:r>
      <w:r>
        <w:rPr>
          <w:rFonts w:hint="eastAsia" w:ascii="仿宋" w:hAnsi="仿宋" w:eastAsia="仿宋" w:cs="仿宋"/>
          <w:color w:val="000000" w:themeColor="text1"/>
          <w:sz w:val="32"/>
          <w:szCs w:val="32"/>
          <w:lang w:val="en-US" w:eastAsia="zh-CN"/>
          <w14:textFill>
            <w14:solidFill>
              <w14:schemeClr w14:val="tx1"/>
            </w14:solidFill>
          </w14:textFill>
        </w:rPr>
        <w:t>20</w:t>
      </w:r>
      <w:r>
        <w:rPr>
          <w:rFonts w:hint="eastAsia" w:ascii="仿宋" w:hAnsi="仿宋" w:eastAsia="仿宋" w:cs="仿宋"/>
          <w:color w:val="000000" w:themeColor="text1"/>
          <w:sz w:val="32"/>
          <w:szCs w:val="32"/>
          <w14:textFill>
            <w14:solidFill>
              <w14:schemeClr w14:val="tx1"/>
            </w14:solidFill>
          </w14:textFill>
        </w:rPr>
        <w:t>年度政府采购</w:t>
      </w:r>
      <w:r>
        <w:rPr>
          <w:rFonts w:hint="eastAsia" w:ascii="仿宋" w:hAnsi="仿宋" w:eastAsia="仿宋" w:cs="仿宋"/>
          <w:color w:val="000000" w:themeColor="text1"/>
          <w:sz w:val="32"/>
          <w:szCs w:val="32"/>
          <w:lang w:eastAsia="zh-CN"/>
          <w14:textFill>
            <w14:solidFill>
              <w14:schemeClr w14:val="tx1"/>
            </w14:solidFill>
          </w14:textFill>
        </w:rPr>
        <w:t>安排</w:t>
      </w:r>
      <w:r>
        <w:rPr>
          <w:rFonts w:hint="eastAsia" w:ascii="仿宋" w:hAnsi="仿宋" w:eastAsia="仿宋" w:cs="仿宋"/>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lang w:eastAsia="zh-CN"/>
          <w14:textFill>
            <w14:solidFill>
              <w14:schemeClr w14:val="tx1"/>
            </w14:solidFill>
          </w14:textFill>
        </w:rPr>
      </w:pPr>
      <w:r>
        <w:rPr>
          <w:rFonts w:hint="eastAsia" w:ascii="黑体" w:hAnsi="黑体" w:eastAsia="黑体" w:cs="黑体"/>
          <w:b w:val="0"/>
          <w:bCs/>
          <w:color w:val="000000" w:themeColor="text1"/>
          <w:sz w:val="32"/>
          <w:szCs w:val="32"/>
          <w:lang w:eastAsia="zh-CN"/>
          <w14:textFill>
            <w14:solidFill>
              <w14:schemeClr w14:val="tx1"/>
            </w14:solidFill>
          </w14:textFill>
        </w:rPr>
        <w:t>六</w:t>
      </w:r>
      <w:r>
        <w:rPr>
          <w:rFonts w:hint="eastAsia" w:ascii="黑体" w:hAnsi="黑体" w:eastAsia="黑体" w:cs="黑体"/>
          <w:b w:val="0"/>
          <w:bCs/>
          <w:color w:val="000000" w:themeColor="text1"/>
          <w:sz w:val="32"/>
          <w:szCs w:val="32"/>
          <w14:textFill>
            <w14:solidFill>
              <w14:schemeClr w14:val="tx1"/>
            </w14:solidFill>
          </w14:textFill>
        </w:rPr>
        <w:t>、</w:t>
      </w:r>
      <w:r>
        <w:rPr>
          <w:rFonts w:hint="eastAsia" w:ascii="黑体" w:hAnsi="黑体" w:eastAsia="黑体" w:cs="黑体"/>
          <w:b w:val="0"/>
          <w:bCs/>
          <w:color w:val="000000" w:themeColor="text1"/>
          <w:sz w:val="32"/>
          <w:szCs w:val="32"/>
          <w:lang w:eastAsia="zh-CN"/>
          <w14:textFill>
            <w14:solidFill>
              <w14:schemeClr w14:val="tx1"/>
            </w14:solidFill>
          </w14:textFill>
        </w:rPr>
        <w:t>对专业性较强的名词进行解释</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上级补助收入：指事业单位从主管部门和上级单位取得的非财政补助收入。</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（三）</w:t>
      </w:r>
      <w:r>
        <w:rPr>
          <w:rFonts w:hint="eastAsia" w:ascii="仿宋" w:hAnsi="仿宋" w:eastAsia="仿宋" w:cs="仿宋"/>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经营收入：指事业单位在专业业务活动及其辅助活动之外开展非独立核算经营活动取得的收入。</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附属单位缴款：指事业单位附属独立核算单位按照有关规定上缴的收入。</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（六）</w:t>
      </w:r>
      <w:r>
        <w:rPr>
          <w:rFonts w:hint="eastAsia" w:ascii="仿宋" w:hAnsi="仿宋" w:eastAsia="仿宋" w:cs="仿宋"/>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（七）</w:t>
      </w:r>
      <w:r>
        <w:rPr>
          <w:rFonts w:hint="eastAsia" w:ascii="仿宋" w:hAnsi="仿宋" w:eastAsia="仿宋" w:cs="仿宋"/>
          <w:color w:val="000000" w:themeColor="text1"/>
          <w:sz w:val="32"/>
          <w:szCs w:val="32"/>
          <w14:textFill>
            <w14:solidFill>
              <w14:schemeClr w14:val="tx1"/>
            </w14:solidFill>
          </w14:textFill>
        </w:rPr>
        <w:t xml:space="preserve">用事业基金弥补收支差额：指事业单位用事业基金弥补当年收支差额的数额。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（八）</w:t>
      </w:r>
      <w:r>
        <w:rPr>
          <w:rFonts w:hint="eastAsia" w:ascii="仿宋" w:hAnsi="仿宋" w:eastAsia="仿宋" w:cs="仿宋"/>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（九）</w:t>
      </w:r>
      <w:r>
        <w:rPr>
          <w:rFonts w:hint="eastAsia" w:ascii="仿宋" w:hAnsi="仿宋" w:eastAsia="仿宋" w:cs="仿宋"/>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（十）</w:t>
      </w:r>
      <w:r>
        <w:rPr>
          <w:rFonts w:hint="eastAsia" w:ascii="仿宋" w:hAnsi="仿宋" w:eastAsia="仿宋" w:cs="仿宋"/>
          <w:color w:val="000000" w:themeColor="text1"/>
          <w:sz w:val="32"/>
          <w:szCs w:val="32"/>
          <w14:textFill>
            <w14:solidFill>
              <w14:schemeClr w14:val="tx1"/>
            </w14:solidFill>
          </w14:textFill>
        </w:rPr>
        <w:t>年末结转和结余资金：指单位结转下年的基本支出结转、项目支出结转和结余和经营结余。</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十一</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十二</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十三</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上缴上级支出：指事业单位按照财政部门和主管部门的规定上缴上级单位的支出。</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十四</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经营支出：指事业单位在专业业务活动及其辅助活动之外开展非独立核算经营活动发生的支出。</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十五</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对附属单位补助支出：指事业单位用财政补助收入之外的收入对附属单位补助发生的支出。</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十六</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十七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eastAsia="zh-CN"/>
          <w14:textFill>
            <w14:solidFill>
              <w14:schemeClr w14:val="tx1"/>
            </w14:solidFill>
          </w14:textFill>
        </w:rPr>
        <w:t>七、国有</w:t>
      </w:r>
      <w:r>
        <w:rPr>
          <w:rFonts w:hint="eastAsia" w:ascii="黑体" w:hAnsi="黑体" w:eastAsia="黑体" w:cs="黑体"/>
          <w:b w:val="0"/>
          <w:bCs/>
          <w:color w:val="000000" w:themeColor="text1"/>
          <w:sz w:val="32"/>
          <w:szCs w:val="32"/>
          <w:lang w:val="en-US" w:eastAsia="zh-CN"/>
          <w14:textFill>
            <w14:solidFill>
              <w14:schemeClr w14:val="tx1"/>
            </w14:solidFill>
          </w14:textFill>
        </w:rPr>
        <w:t>资产占用情况说明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4" w:lineRule="atLeast"/>
        <w:ind w:left="0" w:right="0" w:firstLine="640" w:firstLineChars="200"/>
        <w:jc w:val="both"/>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截止2019年12月31日，本单位资产总额23162.9万元，其中流动资产23148万元，固定资产15.22 万元，在建工程 0万元，无形资产0万元。固定资产当中，房屋构筑物0万元，汽车0辆0万元，单价200万元以上大型设备价值0万元，其他固定资产0万元。</w:t>
      </w:r>
    </w:p>
    <w:p>
      <w:pPr>
        <w:keepNext w:val="0"/>
        <w:keepLines w:val="0"/>
        <w:pageBreakBefore w:val="0"/>
        <w:kinsoku/>
        <w:wordWrap/>
        <w:overflowPunct/>
        <w:topLinePunct w:val="0"/>
        <w:autoSpaceDE/>
        <w:autoSpaceDN/>
        <w:bidi w:val="0"/>
        <w:adjustRightInd/>
        <w:snapToGrid/>
        <w:textAlignment w:val="auto"/>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 xml:space="preserve">     </w:t>
      </w:r>
      <w:r>
        <w:rPr>
          <w:rFonts w:hint="eastAsia" w:ascii="黑体" w:hAnsi="黑体" w:eastAsia="黑体" w:cs="黑体"/>
          <w:b w:val="0"/>
          <w:bCs/>
          <w:color w:val="000000" w:themeColor="text1"/>
          <w:sz w:val="32"/>
          <w:szCs w:val="32"/>
          <w:lang w:val="en-US" w:eastAsia="zh-CN"/>
          <w14:textFill>
            <w14:solidFill>
              <w14:schemeClr w14:val="tx1"/>
            </w14:solidFill>
          </w14:textFill>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我单位本年度项目支出84.78万元，其中：重点项目支出 0万元。</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color w:val="000000" w:themeColor="text1"/>
          <w:sz w:val="32"/>
          <w:szCs w:val="32"/>
          <w:lang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九、</w:t>
      </w:r>
      <w:r>
        <w:rPr>
          <w:rFonts w:hint="eastAsia" w:ascii="黑体" w:hAnsi="黑体" w:eastAsia="黑体" w:cs="黑体"/>
          <w:b w:val="0"/>
          <w:bCs/>
          <w:color w:val="000000" w:themeColor="text1"/>
          <w:sz w:val="32"/>
          <w:szCs w:val="32"/>
          <w14:textFill>
            <w14:solidFill>
              <w14:schemeClr w14:val="tx1"/>
            </w14:solidFill>
          </w14:textFill>
        </w:rPr>
        <w:t>一般公共预算“三公”经费支出</w:t>
      </w:r>
      <w:r>
        <w:rPr>
          <w:rFonts w:hint="eastAsia" w:ascii="黑体" w:hAnsi="黑体" w:eastAsia="黑体" w:cs="黑体"/>
          <w:b w:val="0"/>
          <w:bCs/>
          <w:color w:val="000000" w:themeColor="text1"/>
          <w:sz w:val="32"/>
          <w:szCs w:val="32"/>
          <w:lang w:eastAsia="zh-CN"/>
          <w14:textFill>
            <w14:solidFill>
              <w14:schemeClr w14:val="tx1"/>
            </w14:solidFill>
          </w14:textFill>
        </w:rPr>
        <w:t>增减变化原因等说明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本部门20</w:t>
      </w:r>
      <w:r>
        <w:rPr>
          <w:rFonts w:hint="eastAsia" w:ascii="仿宋" w:hAnsi="仿宋" w:eastAsia="仿宋" w:cs="仿宋"/>
          <w:color w:val="000000" w:themeColor="text1"/>
          <w:sz w:val="32"/>
          <w:szCs w:val="32"/>
          <w:lang w:val="en-US" w:eastAsia="zh-CN"/>
          <w14:textFill>
            <w14:solidFill>
              <w14:schemeClr w14:val="tx1"/>
            </w14:solidFill>
          </w14:textFill>
        </w:rPr>
        <w:t>20</w:t>
      </w:r>
      <w:r>
        <w:rPr>
          <w:rFonts w:hint="eastAsia" w:ascii="仿宋" w:hAnsi="仿宋" w:eastAsia="仿宋" w:cs="仿宋"/>
          <w:color w:val="000000" w:themeColor="text1"/>
          <w:sz w:val="32"/>
          <w:szCs w:val="32"/>
          <w14:textFill>
            <w14:solidFill>
              <w14:schemeClr w14:val="tx1"/>
            </w14:solidFill>
          </w14:textFill>
        </w:rPr>
        <w:t>年度一般公共预算“三公”经费预算数为</w:t>
      </w:r>
      <w:r>
        <w:rPr>
          <w:rFonts w:hint="eastAsia" w:ascii="仿宋" w:hAnsi="仿宋" w:eastAsia="仿宋" w:cs="仿宋"/>
          <w:color w:val="000000" w:themeColor="text1"/>
          <w:sz w:val="32"/>
          <w:szCs w:val="32"/>
          <w:lang w:val="en-US" w:eastAsia="zh-CN"/>
          <w14:textFill>
            <w14:solidFill>
              <w14:schemeClr w14:val="tx1"/>
            </w14:solidFill>
          </w14:textFill>
        </w:rPr>
        <w:t xml:space="preserve">0 </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val="en-US" w:eastAsia="zh-CN"/>
          <w14:textFill>
            <w14:solidFill>
              <w14:schemeClr w14:val="tx1"/>
            </w14:solidFill>
          </w14:textFill>
        </w:rPr>
        <w:t>,本单位本年度无此项预算，故无此项说明情况。</w:t>
      </w:r>
      <w:r>
        <w:rPr>
          <w:rFonts w:hint="eastAsia" w:ascii="仿宋" w:hAnsi="仿宋" w:eastAsia="仿宋" w:cs="仿宋"/>
          <w:color w:val="000000" w:themeColor="text1"/>
          <w:sz w:val="32"/>
          <w:szCs w:val="32"/>
          <w14:textFill>
            <w14:solidFill>
              <w14:schemeClr w14:val="tx1"/>
            </w14:solidFill>
          </w14:textFill>
        </w:rPr>
        <w:t>其中：</w:t>
      </w:r>
    </w:p>
    <w:p>
      <w:pPr>
        <w:keepNext w:val="0"/>
        <w:keepLines w:val="0"/>
        <w:pageBreakBefore w:val="0"/>
        <w:numPr>
          <w:ilvl w:val="0"/>
          <w:numId w:val="3"/>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因公出国（境）支出年初预算数为0万元，</w:t>
      </w:r>
      <w:r>
        <w:rPr>
          <w:rFonts w:hint="eastAsia" w:ascii="仿宋" w:hAnsi="仿宋" w:eastAsia="仿宋" w:cs="仿宋"/>
          <w:color w:val="000000" w:themeColor="text1"/>
          <w:sz w:val="32"/>
          <w:szCs w:val="32"/>
          <w:lang w:eastAsia="zh-CN"/>
          <w14:textFill>
            <w14:solidFill>
              <w14:schemeClr w14:val="tx1"/>
            </w14:solidFill>
          </w14:textFill>
        </w:rPr>
        <w:t>因公出国（境）团组数为</w:t>
      </w:r>
      <w:r>
        <w:rPr>
          <w:rFonts w:hint="eastAsia" w:ascii="仿宋" w:hAnsi="仿宋" w:eastAsia="仿宋" w:cs="仿宋"/>
          <w:color w:val="000000" w:themeColor="text1"/>
          <w:sz w:val="32"/>
          <w:szCs w:val="32"/>
          <w:lang w:val="en-US" w:eastAsia="zh-CN"/>
          <w14:textFill>
            <w14:solidFill>
              <w14:schemeClr w14:val="tx1"/>
            </w14:solidFill>
          </w14:textFill>
        </w:rPr>
        <w:t>0，人数为0。</w:t>
      </w:r>
      <w:r>
        <w:rPr>
          <w:rFonts w:hint="eastAsia" w:ascii="仿宋" w:hAnsi="仿宋" w:eastAsia="仿宋" w:cs="仿宋"/>
          <w:color w:val="000000" w:themeColor="text1"/>
          <w:sz w:val="32"/>
          <w:szCs w:val="32"/>
          <w14:textFill>
            <w14:solidFill>
              <w14:schemeClr w14:val="tx1"/>
            </w14:solidFill>
          </w14:textFill>
        </w:rPr>
        <w:t>较201</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年增加（减少）0万元，增长（下降）0%。</w:t>
      </w:r>
    </w:p>
    <w:p>
      <w:pPr>
        <w:keepNext w:val="0"/>
        <w:keepLines w:val="0"/>
        <w:pageBreakBefore w:val="0"/>
        <w:kinsoku/>
        <w:wordWrap/>
        <w:overflowPunct/>
        <w:topLinePunct w:val="0"/>
        <w:autoSpaceDE/>
        <w:autoSpaceDN/>
        <w:bidi w:val="0"/>
        <w:adjustRightInd/>
        <w:snapToGrid/>
        <w:ind w:firstLine="645"/>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（二）公务接待费支出年初预算数为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kern w:val="2"/>
          <w:sz w:val="32"/>
          <w:szCs w:val="32"/>
          <w:lang w:val="en-US" w:eastAsia="zh-CN" w:bidi="ar"/>
          <w14:textFill>
            <w14:solidFill>
              <w14:schemeClr w14:val="tx1"/>
            </w14:solidFill>
          </w14:textFill>
        </w:rPr>
        <w:t>本单位于2019年3月成立、上一年度无预算，故本年度无增减变化情况说明。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年增加（减少）0万元，增长（下降）0%。</w:t>
      </w:r>
      <w:r>
        <w:rPr>
          <w:rFonts w:hint="eastAsia" w:ascii="仿宋" w:hAnsi="仿宋" w:eastAsia="仿宋" w:cs="仿宋"/>
          <w:color w:val="000000" w:themeColor="text1"/>
          <w:sz w:val="32"/>
          <w:szCs w:val="32"/>
          <w:lang w:eastAsia="zh-CN"/>
          <w14:textFill>
            <w14:solidFill>
              <w14:schemeClr w14:val="tx1"/>
            </w14:solidFill>
          </w14:textFill>
        </w:rPr>
        <w:t>本年度公务用车购置数</w:t>
      </w:r>
      <w:r>
        <w:rPr>
          <w:rFonts w:hint="eastAsia" w:ascii="仿宋" w:hAnsi="仿宋" w:eastAsia="仿宋" w:cs="仿宋"/>
          <w:color w:val="000000" w:themeColor="text1"/>
          <w:sz w:val="32"/>
          <w:szCs w:val="32"/>
          <w:lang w:val="en-US" w:eastAsia="zh-CN"/>
          <w14:textFill>
            <w14:solidFill>
              <w14:schemeClr w14:val="tx1"/>
            </w14:solidFill>
          </w14:textFill>
        </w:rPr>
        <w:t>0辆，公务用车保有量0辆。</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十、政府性基金预算支出预算情况说明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w:t>
      </w:r>
      <w:bookmarkStart w:id="0" w:name="_GoBack"/>
      <w:bookmarkEnd w:id="0"/>
      <w:r>
        <w:rPr>
          <w:rFonts w:hint="eastAsia" w:ascii="仿宋" w:hAnsi="仿宋" w:eastAsia="仿宋" w:cs="仿宋"/>
          <w:color w:val="000000" w:themeColor="text1"/>
          <w:sz w:val="32"/>
          <w:szCs w:val="32"/>
          <w14:textFill>
            <w14:solidFill>
              <w14:schemeClr w14:val="tx1"/>
            </w14:solidFill>
          </w14:textFill>
        </w:rPr>
        <w:t>分类科目的功能分类“项”级细化列示。）</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本单位本年度无此项预算，故无此项说明）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Bernard MT Condensed">
    <w:panose1 w:val="020508060609050204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43D9120B"/>
    <w:multiLevelType w:val="singleLevel"/>
    <w:tmpl w:val="43D9120B"/>
    <w:lvl w:ilvl="0" w:tentative="0">
      <w:start w:val="1"/>
      <w:numFmt w:val="chineseCounting"/>
      <w:suff w:val="nothing"/>
      <w:lvlText w:val="（%1）"/>
      <w:lvlJc w:val="left"/>
      <w:rPr>
        <w:rFonts w:hint="eastAsia"/>
      </w:rPr>
    </w:lvl>
  </w:abstractNum>
  <w:abstractNum w:abstractNumId="2">
    <w:nsid w:val="4AD9FF5C"/>
    <w:multiLevelType w:val="singleLevel"/>
    <w:tmpl w:val="4AD9FF5C"/>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608AB"/>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2DA11EE"/>
    <w:rsid w:val="05E42E29"/>
    <w:rsid w:val="06044D03"/>
    <w:rsid w:val="061E09E3"/>
    <w:rsid w:val="06A43BA7"/>
    <w:rsid w:val="07FB52D1"/>
    <w:rsid w:val="087A6196"/>
    <w:rsid w:val="0B154298"/>
    <w:rsid w:val="0C5A5250"/>
    <w:rsid w:val="0C64513E"/>
    <w:rsid w:val="0D6F726E"/>
    <w:rsid w:val="0DE649EC"/>
    <w:rsid w:val="0E0E268D"/>
    <w:rsid w:val="0E855FBF"/>
    <w:rsid w:val="0E9D2FF4"/>
    <w:rsid w:val="0EE25EB1"/>
    <w:rsid w:val="10CB3E8D"/>
    <w:rsid w:val="11F35FF2"/>
    <w:rsid w:val="16ED5DD6"/>
    <w:rsid w:val="179A58B8"/>
    <w:rsid w:val="18812550"/>
    <w:rsid w:val="19474749"/>
    <w:rsid w:val="19C25CF1"/>
    <w:rsid w:val="1B0D5339"/>
    <w:rsid w:val="1B4A6025"/>
    <w:rsid w:val="1DF453AF"/>
    <w:rsid w:val="1E107510"/>
    <w:rsid w:val="1E643EFE"/>
    <w:rsid w:val="1F753EDB"/>
    <w:rsid w:val="209E0EC3"/>
    <w:rsid w:val="219816D5"/>
    <w:rsid w:val="21A0572B"/>
    <w:rsid w:val="21C30C7B"/>
    <w:rsid w:val="22140CC1"/>
    <w:rsid w:val="24D63713"/>
    <w:rsid w:val="2911059B"/>
    <w:rsid w:val="2A937DAC"/>
    <w:rsid w:val="2CD4060C"/>
    <w:rsid w:val="2DB60033"/>
    <w:rsid w:val="2F5A3BBB"/>
    <w:rsid w:val="2F754CA8"/>
    <w:rsid w:val="2FB928F6"/>
    <w:rsid w:val="31481752"/>
    <w:rsid w:val="341824CB"/>
    <w:rsid w:val="343F3937"/>
    <w:rsid w:val="34D53928"/>
    <w:rsid w:val="358F2B45"/>
    <w:rsid w:val="359D52C0"/>
    <w:rsid w:val="35F4495F"/>
    <w:rsid w:val="36193BD3"/>
    <w:rsid w:val="365A0CE2"/>
    <w:rsid w:val="36696CFD"/>
    <w:rsid w:val="36870474"/>
    <w:rsid w:val="37015ED3"/>
    <w:rsid w:val="38DC522D"/>
    <w:rsid w:val="39E01B38"/>
    <w:rsid w:val="3BFA3BA2"/>
    <w:rsid w:val="3DDC3B29"/>
    <w:rsid w:val="3F5C42DA"/>
    <w:rsid w:val="413D3C9C"/>
    <w:rsid w:val="43E475B8"/>
    <w:rsid w:val="458B37F5"/>
    <w:rsid w:val="467D2DBE"/>
    <w:rsid w:val="48832669"/>
    <w:rsid w:val="48E87EB6"/>
    <w:rsid w:val="4A1E5C8C"/>
    <w:rsid w:val="4A3F2AC1"/>
    <w:rsid w:val="4A4F3891"/>
    <w:rsid w:val="4AFA4BB2"/>
    <w:rsid w:val="4B0506E2"/>
    <w:rsid w:val="4CD0612C"/>
    <w:rsid w:val="4D9B3CEE"/>
    <w:rsid w:val="4EBA5260"/>
    <w:rsid w:val="522F50B0"/>
    <w:rsid w:val="52567629"/>
    <w:rsid w:val="53BC2A6D"/>
    <w:rsid w:val="560F46AD"/>
    <w:rsid w:val="582B68F4"/>
    <w:rsid w:val="58621CCD"/>
    <w:rsid w:val="594C160C"/>
    <w:rsid w:val="5C5177BD"/>
    <w:rsid w:val="5D083F24"/>
    <w:rsid w:val="5D306324"/>
    <w:rsid w:val="5E0B45F3"/>
    <w:rsid w:val="5EC41E24"/>
    <w:rsid w:val="5F2D3E4A"/>
    <w:rsid w:val="5F806104"/>
    <w:rsid w:val="60860A87"/>
    <w:rsid w:val="60B46440"/>
    <w:rsid w:val="61C6166E"/>
    <w:rsid w:val="635C762A"/>
    <w:rsid w:val="660633CD"/>
    <w:rsid w:val="665550D8"/>
    <w:rsid w:val="669E5D76"/>
    <w:rsid w:val="6F5D7F15"/>
    <w:rsid w:val="6FD93AE0"/>
    <w:rsid w:val="71715484"/>
    <w:rsid w:val="71FC58C7"/>
    <w:rsid w:val="7249546B"/>
    <w:rsid w:val="729F0AAD"/>
    <w:rsid w:val="75F45C0F"/>
    <w:rsid w:val="778C3FE9"/>
    <w:rsid w:val="78C97231"/>
    <w:rsid w:val="78CB60BE"/>
    <w:rsid w:val="7B0F46F7"/>
    <w:rsid w:val="7BDE0DD7"/>
    <w:rsid w:val="7C7014AB"/>
    <w:rsid w:val="7CA7512B"/>
    <w:rsid w:val="7CCB1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6</TotalTime>
  <ScaleCrop>false</ScaleCrop>
  <LinksUpToDate>false</LinksUpToDate>
  <CharactersWithSpaces>3878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薄荷</cp:lastModifiedBy>
  <cp:lastPrinted>2019-09-11T06:01:00Z</cp:lastPrinted>
  <dcterms:modified xsi:type="dcterms:W3CDTF">2021-06-03T07:23:52Z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F8AC168E0CDC4D6BBB411B7F957A1AF8</vt:lpwstr>
  </property>
</Properties>
</file>