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default" w:ascii="黑体" w:hAnsi="黑体" w:eastAsia="黑体" w:cstheme="minorEastAsia"/>
          <w:sz w:val="44"/>
          <w:szCs w:val="44"/>
          <w:lang w:val="en-US"/>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直属机关事务服务中心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负责县级机关事务的管理、保障、服务工作；负责拟定县级机关后勤管理办法、规划和规章制度并组织实施；负责全县党政机关事业单位固定资产管理工作；负责全县公共机构节能降耗、节能改造和节能技术推广应用工作；负责全县行政事业单位房地产管理工作和权属登记、使用调配、维修改造、出租出借工作；负责公务用车管理工作；负责党政机关物业管理工作以及行政政务中心管理服务工作。</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襄垣县直属机关事务服务中心内设8个职能股室、1个中心，职能股室、中心分别为：办公室、财务股、固定资产管理股、基建维修股、节能股、接待股、物业股、行政中心管理股、公务用车服务中心。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现有行政、事业编制33名，其中，行政编制24名，事业编制9名。实有25人，其中公务员11名，行政工勤8人，事业人员6名，其他0人。</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襄垣县直属机关事务服务中心</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2020年度收入、支出预算总计9434.64万元，与上年相比收、支预算总计各减少2499.14 万元，减少34.63 %。主要原因是项目资金减少。其中：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（一）收入预算总计4717.32万元。包括：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1．财政拨款收入预算总计4717.32万元。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（1）一般公共预算收入预算4717.32万元，与上年相比减少2499.14万元，减少34.63%。主要原因是项目资金减少等原因。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 0万元，增长（减少）0%。主要原因是无此项预算。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4．上年结转资金预算数为0万元。与上年相比增加（减少）0万元，增长（减少）0 %。</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（二）支出预算总计4717.32万元。包括：人员经费、公用经费、后勤保障服务、工程项目等。</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 4054.28万元，主要用于人员经费、公用经费、后勤保障服务、工程项目等。与上年相比减少2105.54万元，减少43.37%。主要原因是项目资金减少等原因。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2．教育支出500万元。与上年相比增加500万元。主要原因是新增加项目。</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3.文化旅游体育与传媒支出100万元。与上年相比增加100万元新增加项目。</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4.社会保障和就业支出28.98万元。与上年相比减少4.35万元，减少13.05 %。主要原因是人员工资。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5.医疗卫生与计划生育支出13.3万元。与上年相比增加4.07万元，增长44.1%。主要原因是人员工资。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5.住房保障支出20.76万元。与上年相比增加6.68万元，增长47.44%。主要原因是人员工资。</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此外，基本支出预算数为475.65万元。与上年相比增加7.9万元，增长1.69%。主要原因是人员工资正常变动。</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项目支出预算数为4241.67万元。与上年相比减少2507.04万元，减少37.15%。主要原因是工程项目资金减少。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223.55万元，较2019年减少55.01万元，其中：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0.48万元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0.6万元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1万元、工会经费1.5万元、其他交通费13.47万元、公务用车运行维护费200万元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主要增减变化情况：取暖费、公务用车运行维护费减少。</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w:t>
      </w:r>
      <w:r>
        <w:rPr>
          <w:rFonts w:hint="eastAsia" w:ascii="仿宋_GB2312" w:eastAsia="仿宋_GB2312" w:hAnsiTheme="minorEastAsia" w:cstheme="minorEastAsia"/>
          <w:sz w:val="32"/>
          <w:szCs w:val="32"/>
        </w:rPr>
        <w:t>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11335.46</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9635.26</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2864.30</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253.49</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139.67</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2</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11.66</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2716.97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5815.50</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bookmarkStart w:id="0" w:name="_GoBack"/>
      <w:bookmarkEnd w:id="0"/>
    </w:p>
    <w:p>
      <w:pPr>
        <w:ind w:firstLine="640" w:firstLineChars="200"/>
        <w:rPr>
          <w:rFonts w:hint="default" w:ascii="仿宋_GB2312" w:hAnsi="仿宋_GB2312" w:eastAsia="仿宋_GB2312" w:cs="仿宋_GB2312"/>
          <w:color w:val="auto"/>
          <w:kern w:val="0"/>
          <w:sz w:val="32"/>
          <w:szCs w:val="32"/>
          <w:shd w:val="clear" w:color="auto" w:fill="FFFFFF"/>
          <w:lang w:val="en-US" w:eastAsia="zh-CN" w:bidi="ar-SA"/>
        </w:rPr>
      </w:pPr>
      <w:r>
        <w:rPr>
          <w:rFonts w:hint="eastAsia" w:ascii="仿宋_GB2312" w:hAnsi="仿宋_GB2312" w:eastAsia="仿宋_GB2312" w:cs="仿宋_GB2312"/>
          <w:color w:val="auto"/>
          <w:kern w:val="0"/>
          <w:sz w:val="32"/>
          <w:szCs w:val="32"/>
          <w:shd w:val="clear" w:color="auto" w:fill="FFFFFF"/>
          <w:lang w:val="en-US" w:eastAsia="zh-CN" w:bidi="ar-SA"/>
        </w:rPr>
        <w:t>我单位本年度项目支出4241.67万元，其中：重点项目支出600万元，中共襄垣县委党校2020年地下车库主体工程完成80%左右；襄垣县融媒体中心项目共两层：一层空间时空隧道，指挥调度中心，视频编辑室，学习强国平台，品牌工作室，网红直播间，新闻演播室，电台演播室，综合演播室，播出部及各导播间，弱电机房基本完成。相应空间所需大屏及设备全部到位。二层完成办公空间完成装修，办公家具配置，空调新风正常运行，消防和排烟系统安装完成，完成工程量的80%</w:t>
      </w:r>
    </w:p>
    <w:p>
      <w:pPr>
        <w:ind w:firstLine="640" w:firstLineChars="200"/>
        <w:rPr>
          <w:rFonts w:hint="default" w:ascii="楷体" w:hAnsi="楷体" w:eastAsia="楷体" w:cstheme="minorEastAsia"/>
          <w:b w:val="0"/>
          <w:bCs/>
          <w:sz w:val="32"/>
          <w:szCs w:val="32"/>
          <w:lang w:val="en-US" w:eastAsia="zh-CN"/>
        </w:rPr>
      </w:pP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588.87</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378.87</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上升</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180.41</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388.87</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增加</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388.87</w:t>
      </w:r>
      <w:r>
        <w:rPr>
          <w:rFonts w:hint="eastAsia" w:ascii="仿宋_GB2312" w:eastAsia="仿宋_GB2312" w:hAnsiTheme="minorEastAsia" w:cstheme="minorEastAsia"/>
          <w:color w:val="000000" w:themeColor="text1"/>
          <w:sz w:val="32"/>
          <w:szCs w:val="32"/>
          <w14:textFill>
            <w14:solidFill>
              <w14:schemeClr w14:val="tx1"/>
            </w14:solidFill>
          </w14:textFill>
        </w:rPr>
        <w:t>万元，主要原因是：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机构改革接待中心合并</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600批次，共7000人。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200</w:t>
      </w:r>
      <w:r>
        <w:rPr>
          <w:rFonts w:hint="eastAsia" w:ascii="仿宋_GB2312" w:eastAsia="仿宋_GB2312" w:hAnsiTheme="minorEastAsia" w:cstheme="minorEastAsia"/>
          <w:color w:val="000000" w:themeColor="text1"/>
          <w:sz w:val="32"/>
          <w:szCs w:val="32"/>
          <w14:textFill>
            <w14:solidFill>
              <w14:schemeClr w14:val="tx1"/>
            </w14:solidFill>
          </w14:textFill>
        </w:rPr>
        <w:t>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w:t>
      </w:r>
      <w:r>
        <w:rPr>
          <w:rFonts w:hint="eastAsia" w:ascii="仿宋_GB2312" w:eastAsia="仿宋_GB2312" w:hAnsiTheme="minorEastAsia" w:cstheme="minorEastAsia"/>
          <w:color w:val="000000" w:themeColor="text1"/>
          <w:sz w:val="32"/>
          <w:szCs w:val="32"/>
          <w14:textFill>
            <w14:solidFill>
              <w14:schemeClr w14:val="tx1"/>
            </w14:solidFill>
          </w14:textFill>
        </w:rPr>
        <w:t>0万元，下降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4.76</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0辆，公务用车保有量100辆。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Theme="minorEastAsia" w:hAnsiTheme="minorEastAsia" w:eastAsia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6FE406E"/>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5CD182D"/>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CAD61BA"/>
    <w:rsid w:val="4D9B3CEE"/>
    <w:rsid w:val="4DAB21D4"/>
    <w:rsid w:val="4EBA5260"/>
    <w:rsid w:val="522F50B0"/>
    <w:rsid w:val="52567629"/>
    <w:rsid w:val="582B68F4"/>
    <w:rsid w:val="59793A81"/>
    <w:rsid w:val="5A0B73C6"/>
    <w:rsid w:val="5D083F24"/>
    <w:rsid w:val="5D306324"/>
    <w:rsid w:val="5E0B45F3"/>
    <w:rsid w:val="60860A87"/>
    <w:rsid w:val="60B46440"/>
    <w:rsid w:val="61C6166E"/>
    <w:rsid w:val="635C762A"/>
    <w:rsid w:val="65161309"/>
    <w:rsid w:val="6AFD3DA4"/>
    <w:rsid w:val="6FD93AE0"/>
    <w:rsid w:val="71715484"/>
    <w:rsid w:val="71FC58C7"/>
    <w:rsid w:val="7249546B"/>
    <w:rsid w:val="729F0AAD"/>
    <w:rsid w:val="735731BA"/>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19</TotalTime>
  <ScaleCrop>false</ScaleCrop>
  <LinksUpToDate>false</LinksUpToDate>
  <CharactersWithSpaces>3878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2021-06-04T02:40:13Z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F8AC168E0CDC4D6BBB411B7F957A1AF8</vt:lpwstr>
  </property>
</Properties>
</file>