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公安局交通警察大队</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537" w:firstLineChars="168"/>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（一）负责全县城乡道路交通安全管理工作，直接承担我辖区内的日常道路交通安全管理工作。</w:t>
      </w:r>
    </w:p>
    <w:p>
      <w:pPr>
        <w:ind w:firstLine="537" w:firstLineChars="168"/>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（二）负责对全县交通参与者及广大群众、中小学生进行交通法规宣传和交通安全教育。</w:t>
      </w:r>
    </w:p>
    <w:p>
      <w:pPr>
        <w:ind w:firstLine="537" w:firstLineChars="168"/>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（三）负责对全县交通事故处理工作的检查、监督、指导和事故统计分析。</w:t>
      </w:r>
    </w:p>
    <w:p>
      <w:pPr>
        <w:ind w:firstLine="537" w:firstLineChars="168"/>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（四）直接承担全县所有机动车辆的上户登记、发牌发证和驾驶员考试、培训、发证及车辆和驾驶员的年度检、审验等有关工作。</w:t>
      </w:r>
    </w:p>
    <w:p>
      <w:pPr>
        <w:ind w:firstLine="537" w:firstLineChars="168"/>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（五）负责全县交警部门的财务开支、年度预算、决算和在册机动车及驾驶员管理规费的收缴、结算、及各种有价票证的领发、登记、统计、回收，确保业务规费的回收上缴。</w:t>
      </w:r>
    </w:p>
    <w:p>
      <w:pPr>
        <w:ind w:firstLine="537" w:firstLineChars="168"/>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（六）负责县交办的其他事宜。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ascii="仿宋_GB2312" w:hAnsi="楷体" w:eastAsia="仿宋_GB2312" w:cs="宋体"/>
          <w:bCs/>
          <w:color w:val="333333"/>
          <w:kern w:val="0"/>
          <w:sz w:val="32"/>
          <w:szCs w:val="32"/>
        </w:rPr>
      </w:pPr>
      <w:r>
        <w:rPr>
          <w:rFonts w:hint="eastAsia" w:ascii="仿宋_GB2312" w:hAnsi="楷体" w:eastAsia="仿宋_GB2312" w:cs="宋体"/>
          <w:bCs/>
          <w:color w:val="333333"/>
          <w:kern w:val="0"/>
          <w:sz w:val="32"/>
          <w:szCs w:val="32"/>
        </w:rPr>
        <w:t>（一）机构设置情况</w:t>
      </w:r>
    </w:p>
    <w:p>
      <w:pPr>
        <w:ind w:firstLine="645"/>
        <w:rPr>
          <w:rFonts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襄垣县公安局交通警察大队内设13个科室（所）队、分别为：办公室、秩序科、车辆管理所、宣传科、事故科、财务科、法制科、设施科、调控中心、安检中心、一中队、二中队、夏店中队。下设襄垣县交通安全教育培训中心1个事业单位。现有行政、事业编制41名。实有34人，其中公务员15人，行政工勤2人，事业人员17人。</w:t>
      </w:r>
      <w:r>
        <w:rPr>
          <w:rFonts w:hint="eastAsia" w:ascii="仿宋" w:hAnsi="仿宋" w:eastAsia="仿宋" w:cs="仿宋_GB2312"/>
          <w:color w:val="5B9BD5" w:themeColor="accent1"/>
          <w:sz w:val="32"/>
          <w:szCs w:val="32"/>
          <w14:textFill>
            <w14:solidFill>
              <w14:schemeClr w14:val="accent1"/>
            </w14:solidFill>
          </w14:textFill>
        </w:rPr>
        <w:t xml:space="preserve">  </w:t>
      </w:r>
    </w:p>
    <w:p>
      <w:pPr>
        <w:widowControl/>
        <w:spacing w:line="324" w:lineRule="atLeast"/>
        <w:ind w:left="540"/>
        <w:jc w:val="left"/>
        <w:rPr>
          <w:rFonts w:ascii="仿宋_GB2312" w:hAnsi="楷体" w:eastAsia="仿宋_GB2312" w:cs="宋体"/>
          <w:bCs/>
          <w:color w:val="333333"/>
          <w:kern w:val="0"/>
          <w:sz w:val="32"/>
          <w:szCs w:val="32"/>
        </w:rPr>
      </w:pPr>
      <w:r>
        <w:rPr>
          <w:rFonts w:hint="eastAsia" w:ascii="仿宋_GB2312" w:hAnsi="楷体" w:eastAsia="仿宋_GB2312" w:cs="宋体"/>
          <w:bCs/>
          <w:color w:val="333333"/>
          <w:kern w:val="0"/>
          <w:sz w:val="32"/>
          <w:szCs w:val="32"/>
        </w:rPr>
        <w:t>（二）人员情况说明</w:t>
      </w:r>
    </w:p>
    <w:p>
      <w:pPr>
        <w:ind w:firstLine="640" w:firstLineChars="200"/>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现有行政、事业编制41名，其中，行政编制21名，事业编制20名。实有34人，其中公务员15名，行政工勤2人，事业人员17名。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1．财政拨款收入预算总计</w:t>
      </w:r>
      <w:r>
        <w:rPr>
          <w:rFonts w:hint="eastAsia" w:ascii="仿宋" w:hAnsi="仿宋" w:eastAsia="仿宋" w:cs="仿宋"/>
          <w:color w:val="auto"/>
          <w:sz w:val="32"/>
          <w:szCs w:val="32"/>
          <w:lang w:val="en-US" w:eastAsia="zh-CN"/>
        </w:rPr>
        <w:t>1413.39</w:t>
      </w:r>
      <w:r>
        <w:rPr>
          <w:rFonts w:hint="eastAsia" w:ascii="仿宋" w:hAnsi="仿宋" w:eastAsia="仿宋" w:cs="仿宋"/>
          <w:color w:val="auto"/>
          <w:sz w:val="32"/>
          <w:szCs w:val="32"/>
        </w:rPr>
        <w:t>万元。</w:t>
      </w:r>
    </w:p>
    <w:p>
      <w:pPr>
        <w:ind w:firstLine="645"/>
        <w:rPr>
          <w:rFonts w:hint="eastAsia" w:ascii="仿宋" w:hAnsi="仿宋" w:eastAsia="仿宋" w:cs="仿宋"/>
          <w:color w:val="333333"/>
          <w:sz w:val="32"/>
          <w:szCs w:val="32"/>
        </w:rPr>
      </w:pPr>
      <w:r>
        <w:rPr>
          <w:rFonts w:hint="eastAsia" w:ascii="仿宋" w:hAnsi="仿宋" w:eastAsia="仿宋" w:cs="仿宋"/>
          <w:color w:val="auto"/>
          <w:sz w:val="32"/>
          <w:szCs w:val="32"/>
        </w:rPr>
        <w:t>（1）一般公共预算收入预算</w:t>
      </w:r>
      <w:r>
        <w:rPr>
          <w:rFonts w:hint="eastAsia" w:ascii="仿宋" w:hAnsi="仿宋" w:eastAsia="仿宋" w:cs="仿宋"/>
          <w:color w:val="auto"/>
          <w:sz w:val="32"/>
          <w:szCs w:val="32"/>
          <w:lang w:val="en-US" w:eastAsia="zh-CN"/>
        </w:rPr>
        <w:t>1413.39</w:t>
      </w:r>
      <w:r>
        <w:rPr>
          <w:rFonts w:hint="eastAsia" w:ascii="仿宋" w:hAnsi="仿宋" w:eastAsia="仿宋" w:cs="仿宋"/>
          <w:color w:val="auto"/>
          <w:sz w:val="32"/>
          <w:szCs w:val="32"/>
        </w:rPr>
        <w:t>万元，与上年相比</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lang w:val="en-US" w:eastAsia="zh-CN"/>
        </w:rPr>
        <w:t>1000.77</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242.54</w:t>
      </w:r>
      <w:r>
        <w:rPr>
          <w:rFonts w:hint="eastAsia" w:ascii="仿宋" w:hAnsi="仿宋" w:eastAsia="仿宋" w:cs="仿宋"/>
          <w:color w:val="auto"/>
          <w:sz w:val="32"/>
          <w:szCs w:val="32"/>
        </w:rPr>
        <w:t>%。主要原因是</w:t>
      </w:r>
      <w:r>
        <w:rPr>
          <w:rFonts w:hint="eastAsia" w:ascii="仿宋" w:hAnsi="仿宋" w:eastAsia="仿宋" w:cs="仿宋"/>
          <w:color w:val="333333"/>
          <w:sz w:val="32"/>
          <w:szCs w:val="32"/>
        </w:rPr>
        <w:t>公安交管工作公共基础设施项目支出增加</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lang w:val="en-US" w:eastAsia="zh-CN"/>
        </w:rPr>
        <w:t>19年度没有项目支出预算</w:t>
      </w:r>
      <w:r>
        <w:rPr>
          <w:rFonts w:hint="eastAsia" w:ascii="仿宋" w:hAnsi="仿宋" w:eastAsia="仿宋" w:cs="仿宋"/>
          <w:color w:val="333333"/>
          <w:sz w:val="32"/>
          <w:szCs w:val="32"/>
        </w:rPr>
        <w:t>。</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（2）政府性基金收入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本单位本年度无此项预算。</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2．财政专户管理资金收入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本单位本年度无此项预算。</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3．其他资金收入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本单位本年度无此项预算。</w:t>
      </w:r>
    </w:p>
    <w:p>
      <w:pPr>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rPr>
        <w:t>（二）支出预算总计</w:t>
      </w:r>
      <w:r>
        <w:rPr>
          <w:rFonts w:hint="eastAsia" w:ascii="仿宋" w:hAnsi="仿宋" w:eastAsia="仿宋" w:cs="仿宋"/>
          <w:color w:val="auto"/>
          <w:sz w:val="32"/>
          <w:szCs w:val="32"/>
          <w:lang w:val="en-US" w:eastAsia="zh-CN"/>
        </w:rPr>
        <w:t>1413.39</w:t>
      </w:r>
      <w:r>
        <w:rPr>
          <w:rFonts w:hint="eastAsia" w:ascii="仿宋" w:hAnsi="仿宋" w:eastAsia="仿宋" w:cs="仿宋"/>
          <w:color w:val="auto"/>
          <w:sz w:val="32"/>
          <w:szCs w:val="32"/>
        </w:rPr>
        <w:t>万元。包括：</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1．公共安全支出</w:t>
      </w:r>
      <w:r>
        <w:rPr>
          <w:rFonts w:hint="eastAsia" w:ascii="仿宋" w:hAnsi="仿宋" w:eastAsia="仿宋" w:cs="仿宋"/>
          <w:color w:val="auto"/>
          <w:sz w:val="32"/>
          <w:szCs w:val="32"/>
          <w:lang w:val="en-US" w:eastAsia="zh-CN"/>
        </w:rPr>
        <w:t>1308.32</w:t>
      </w:r>
      <w:r>
        <w:rPr>
          <w:rFonts w:hint="eastAsia" w:ascii="仿宋" w:hAnsi="仿宋" w:eastAsia="仿宋" w:cs="仿宋"/>
          <w:color w:val="auto"/>
          <w:sz w:val="32"/>
          <w:szCs w:val="32"/>
        </w:rPr>
        <w:t>万元，主要用于部门人员支出、公用经费支出及项目支出。与上年相比</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lang w:val="en-US" w:eastAsia="zh-CN"/>
        </w:rPr>
        <w:t>999.19</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323.22</w:t>
      </w:r>
      <w:r>
        <w:rPr>
          <w:rFonts w:hint="eastAsia" w:ascii="仿宋" w:hAnsi="仿宋" w:eastAsia="仿宋" w:cs="仿宋"/>
          <w:color w:val="auto"/>
          <w:sz w:val="32"/>
          <w:szCs w:val="32"/>
        </w:rPr>
        <w:t>%。主要原因是</w:t>
      </w:r>
      <w:r>
        <w:rPr>
          <w:rFonts w:hint="eastAsia" w:ascii="仿宋" w:hAnsi="仿宋" w:eastAsia="仿宋" w:cs="仿宋"/>
          <w:color w:val="333333"/>
          <w:sz w:val="32"/>
          <w:szCs w:val="32"/>
        </w:rPr>
        <w:t>公安交管工作</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支出较上年</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rPr>
        <w:t>。</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2. 社会保障和就业支出</w:t>
      </w:r>
      <w:r>
        <w:rPr>
          <w:rFonts w:hint="eastAsia" w:ascii="仿宋" w:hAnsi="仿宋" w:eastAsia="仿宋" w:cs="仿宋"/>
          <w:color w:val="auto"/>
          <w:sz w:val="32"/>
          <w:szCs w:val="32"/>
          <w:lang w:val="en-US" w:eastAsia="zh-CN"/>
        </w:rPr>
        <w:t>50.82</w:t>
      </w:r>
      <w:r>
        <w:rPr>
          <w:rFonts w:hint="eastAsia" w:ascii="仿宋" w:hAnsi="仿宋" w:eastAsia="仿宋" w:cs="仿宋"/>
          <w:color w:val="auto"/>
          <w:sz w:val="32"/>
          <w:szCs w:val="32"/>
        </w:rPr>
        <w:t>万元，主要用于部门人员养老保险支出。与上年相比减少</w:t>
      </w:r>
      <w:r>
        <w:rPr>
          <w:rFonts w:hint="eastAsia" w:ascii="仿宋" w:hAnsi="仿宋" w:eastAsia="仿宋" w:cs="仿宋"/>
          <w:color w:val="auto"/>
          <w:sz w:val="32"/>
          <w:szCs w:val="32"/>
          <w:lang w:val="en-US" w:eastAsia="zh-CN"/>
        </w:rPr>
        <w:t>9.83</w:t>
      </w:r>
      <w:r>
        <w:rPr>
          <w:rFonts w:hint="eastAsia" w:ascii="仿宋" w:hAnsi="仿宋" w:eastAsia="仿宋" w:cs="仿宋"/>
          <w:color w:val="auto"/>
          <w:sz w:val="32"/>
          <w:szCs w:val="32"/>
        </w:rPr>
        <w:t>万元，减少</w:t>
      </w:r>
      <w:r>
        <w:rPr>
          <w:rFonts w:hint="eastAsia" w:ascii="仿宋" w:hAnsi="仿宋" w:eastAsia="仿宋" w:cs="仿宋"/>
          <w:color w:val="auto"/>
          <w:sz w:val="32"/>
          <w:szCs w:val="32"/>
          <w:lang w:val="en-US" w:eastAsia="zh-CN"/>
        </w:rPr>
        <w:t>16.2</w:t>
      </w:r>
      <w:r>
        <w:rPr>
          <w:rFonts w:hint="eastAsia" w:ascii="仿宋" w:hAnsi="仿宋" w:eastAsia="仿宋" w:cs="仿宋"/>
          <w:color w:val="auto"/>
          <w:sz w:val="32"/>
          <w:szCs w:val="32"/>
        </w:rPr>
        <w:t>%。主要原因是机关事业单位职业</w:t>
      </w:r>
      <w:r>
        <w:rPr>
          <w:rFonts w:hint="eastAsia" w:ascii="仿宋" w:hAnsi="仿宋" w:eastAsia="仿宋" w:cs="仿宋"/>
          <w:color w:val="auto"/>
          <w:sz w:val="32"/>
          <w:szCs w:val="32"/>
          <w:lang w:eastAsia="zh-CN"/>
        </w:rPr>
        <w:t>保险缴费基数调整</w:t>
      </w:r>
      <w:r>
        <w:rPr>
          <w:rFonts w:hint="eastAsia" w:ascii="仿宋" w:hAnsi="仿宋" w:eastAsia="仿宋" w:cs="仿宋"/>
          <w:color w:val="auto"/>
          <w:sz w:val="32"/>
          <w:szCs w:val="32"/>
        </w:rPr>
        <w:t>。</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3．卫生健康支出</w:t>
      </w:r>
      <w:r>
        <w:rPr>
          <w:rFonts w:hint="eastAsia" w:ascii="仿宋" w:hAnsi="仿宋" w:eastAsia="仿宋" w:cs="仿宋"/>
          <w:color w:val="auto"/>
          <w:sz w:val="32"/>
          <w:szCs w:val="32"/>
          <w:lang w:val="en-US" w:eastAsia="zh-CN"/>
        </w:rPr>
        <w:t>26.82</w:t>
      </w:r>
      <w:r>
        <w:rPr>
          <w:rFonts w:hint="eastAsia" w:ascii="仿宋" w:hAnsi="仿宋" w:eastAsia="仿宋" w:cs="仿宋"/>
          <w:color w:val="auto"/>
          <w:sz w:val="32"/>
          <w:szCs w:val="32"/>
        </w:rPr>
        <w:t>万元，主要用于部门人员医疗保险支出。与上年相比</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rPr>
        <w:t>10.</w:t>
      </w:r>
      <w:r>
        <w:rPr>
          <w:rFonts w:hint="eastAsia" w:ascii="仿宋" w:hAnsi="仿宋" w:eastAsia="仿宋" w:cs="仿宋"/>
          <w:color w:val="auto"/>
          <w:sz w:val="32"/>
          <w:szCs w:val="32"/>
          <w:lang w:val="en-US" w:eastAsia="zh-CN"/>
        </w:rPr>
        <w:t>13</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60.7</w:t>
      </w:r>
      <w:r>
        <w:rPr>
          <w:rFonts w:hint="eastAsia" w:ascii="仿宋" w:hAnsi="仿宋" w:eastAsia="仿宋" w:cs="仿宋"/>
          <w:color w:val="auto"/>
          <w:sz w:val="32"/>
          <w:szCs w:val="32"/>
        </w:rPr>
        <w:t>%。主要原因是重大公共卫生服务支出</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rPr>
        <w:t>。</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4．住房保障支出</w:t>
      </w:r>
      <w:r>
        <w:rPr>
          <w:rFonts w:hint="eastAsia" w:ascii="仿宋" w:hAnsi="仿宋" w:eastAsia="仿宋" w:cs="仿宋"/>
          <w:color w:val="auto"/>
          <w:sz w:val="32"/>
          <w:szCs w:val="32"/>
          <w:lang w:val="en-US" w:eastAsia="zh-CN"/>
        </w:rPr>
        <w:t>27.43</w:t>
      </w:r>
      <w:r>
        <w:rPr>
          <w:rFonts w:hint="eastAsia" w:ascii="仿宋" w:hAnsi="仿宋" w:eastAsia="仿宋" w:cs="仿宋"/>
          <w:color w:val="auto"/>
          <w:sz w:val="32"/>
          <w:szCs w:val="32"/>
        </w:rPr>
        <w:t>万元，主要用于部门人员住房公积金支出。与上年相比增加</w:t>
      </w:r>
      <w:r>
        <w:rPr>
          <w:rFonts w:hint="eastAsia" w:ascii="仿宋" w:hAnsi="仿宋" w:eastAsia="仿宋" w:cs="仿宋"/>
          <w:color w:val="auto"/>
          <w:sz w:val="32"/>
          <w:szCs w:val="32"/>
          <w:lang w:val="en-US" w:eastAsia="zh-CN"/>
        </w:rPr>
        <w:t>1.28</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4.89</w:t>
      </w:r>
      <w:r>
        <w:rPr>
          <w:rFonts w:hint="eastAsia" w:ascii="仿宋" w:hAnsi="仿宋" w:eastAsia="仿宋" w:cs="仿宋"/>
          <w:color w:val="auto"/>
          <w:sz w:val="32"/>
          <w:szCs w:val="32"/>
        </w:rPr>
        <w:t>%。主要原因是住房公积金基数扣缴调整。</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此外，基本支出预算数为</w:t>
      </w:r>
      <w:r>
        <w:rPr>
          <w:rFonts w:hint="eastAsia" w:ascii="仿宋" w:hAnsi="仿宋" w:eastAsia="仿宋" w:cs="仿宋"/>
          <w:color w:val="auto"/>
          <w:sz w:val="32"/>
          <w:szCs w:val="32"/>
          <w:lang w:val="en-US" w:eastAsia="zh-CN"/>
        </w:rPr>
        <w:t>435.49</w:t>
      </w:r>
      <w:r>
        <w:rPr>
          <w:rFonts w:hint="eastAsia" w:ascii="仿宋" w:hAnsi="仿宋" w:eastAsia="仿宋" w:cs="仿宋"/>
          <w:color w:val="auto"/>
          <w:sz w:val="32"/>
          <w:szCs w:val="32"/>
        </w:rPr>
        <w:t>万元。与上年相比增加</w:t>
      </w:r>
      <w:r>
        <w:rPr>
          <w:rFonts w:hint="eastAsia" w:ascii="仿宋" w:hAnsi="仿宋" w:eastAsia="仿宋" w:cs="仿宋"/>
          <w:color w:val="auto"/>
          <w:sz w:val="32"/>
          <w:szCs w:val="32"/>
          <w:lang w:val="en-US" w:eastAsia="zh-CN"/>
        </w:rPr>
        <w:t>22.87</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5.54</w:t>
      </w:r>
      <w:r>
        <w:rPr>
          <w:rFonts w:hint="eastAsia" w:ascii="仿宋" w:hAnsi="仿宋" w:eastAsia="仿宋" w:cs="仿宋"/>
          <w:color w:val="auto"/>
          <w:sz w:val="32"/>
          <w:szCs w:val="32"/>
        </w:rPr>
        <w:t>%。主要原因是部门人员工资增加。</w:t>
      </w:r>
    </w:p>
    <w:p>
      <w:pPr>
        <w:ind w:firstLine="645"/>
        <w:rPr>
          <w:rFonts w:hint="eastAsia" w:ascii="仿宋" w:hAnsi="仿宋" w:eastAsia="仿宋" w:cs="仿宋"/>
          <w:color w:val="auto"/>
          <w:sz w:val="32"/>
          <w:szCs w:val="32"/>
        </w:rPr>
      </w:pPr>
      <w:r>
        <w:rPr>
          <w:rFonts w:hint="eastAsia" w:ascii="仿宋" w:hAnsi="仿宋" w:eastAsia="仿宋" w:cs="仿宋"/>
          <w:color w:val="auto"/>
          <w:sz w:val="32"/>
          <w:szCs w:val="32"/>
        </w:rPr>
        <w:t>项目支出预算数为</w:t>
      </w:r>
      <w:r>
        <w:rPr>
          <w:rFonts w:hint="eastAsia" w:ascii="仿宋" w:hAnsi="仿宋" w:eastAsia="仿宋" w:cs="仿宋"/>
          <w:color w:val="auto"/>
          <w:sz w:val="32"/>
          <w:szCs w:val="32"/>
          <w:lang w:val="en-US" w:eastAsia="zh-CN"/>
        </w:rPr>
        <w:t>977.9</w:t>
      </w:r>
      <w:r>
        <w:rPr>
          <w:rFonts w:hint="eastAsia" w:ascii="仿宋" w:hAnsi="仿宋" w:eastAsia="仿宋" w:cs="仿宋"/>
          <w:color w:val="auto"/>
          <w:sz w:val="32"/>
          <w:szCs w:val="32"/>
        </w:rPr>
        <w:t>万元。与上年相比</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lang w:val="en-US" w:eastAsia="zh-CN"/>
        </w:rPr>
        <w:t>977.9</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%。主要原因是公安交管工作公共基础设施项目支出</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rPr>
        <w:t>。</w:t>
      </w:r>
    </w:p>
    <w:p>
      <w:pPr>
        <w:ind w:firstLine="640" w:firstLineChars="200"/>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w:t>
      </w:r>
      <w:r>
        <w:rPr>
          <w:rFonts w:hint="eastAsia" w:ascii="黑体" w:hAnsi="黑体" w:eastAsia="黑体" w:cs="黑体"/>
          <w:b w:val="0"/>
          <w:bCs/>
          <w:sz w:val="32"/>
          <w:szCs w:val="32"/>
          <w:lang w:eastAsia="zh-CN"/>
        </w:rPr>
        <w:t>机关运行经费安排情况说明</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本单位机关运行经费支出预算数为</w:t>
      </w:r>
      <w:r>
        <w:rPr>
          <w:rFonts w:hint="eastAsia" w:ascii="仿宋" w:hAnsi="仿宋" w:eastAsia="仿宋" w:cs="仿宋"/>
          <w:color w:val="auto"/>
          <w:sz w:val="32"/>
          <w:szCs w:val="32"/>
          <w:lang w:val="en-US" w:eastAsia="zh-CN"/>
        </w:rPr>
        <w:t>93.29</w:t>
      </w:r>
      <w:r>
        <w:rPr>
          <w:rFonts w:hint="eastAsia" w:ascii="仿宋" w:hAnsi="仿宋" w:eastAsia="仿宋" w:cs="仿宋"/>
          <w:color w:val="auto"/>
          <w:sz w:val="32"/>
          <w:szCs w:val="32"/>
        </w:rPr>
        <w:t>万元，较20</w:t>
      </w:r>
      <w:r>
        <w:rPr>
          <w:rFonts w:hint="eastAsia" w:ascii="仿宋" w:hAnsi="仿宋" w:eastAsia="仿宋" w:cs="仿宋"/>
          <w:color w:val="auto"/>
          <w:sz w:val="32"/>
          <w:szCs w:val="32"/>
          <w:lang w:val="en-US" w:eastAsia="zh-CN"/>
        </w:rPr>
        <w:t>19</w:t>
      </w:r>
      <w:r>
        <w:rPr>
          <w:rFonts w:hint="eastAsia" w:ascii="仿宋" w:hAnsi="仿宋" w:eastAsia="仿宋" w:cs="仿宋"/>
          <w:color w:val="auto"/>
          <w:sz w:val="32"/>
          <w:szCs w:val="32"/>
        </w:rPr>
        <w:t>年增加</w:t>
      </w:r>
      <w:r>
        <w:rPr>
          <w:rFonts w:hint="eastAsia" w:ascii="仿宋" w:hAnsi="仿宋" w:eastAsia="仿宋" w:cs="仿宋"/>
          <w:color w:val="auto"/>
          <w:sz w:val="32"/>
          <w:szCs w:val="32"/>
          <w:lang w:val="en-US" w:eastAsia="zh-CN"/>
        </w:rPr>
        <w:t>24.24</w:t>
      </w:r>
      <w:r>
        <w:rPr>
          <w:rFonts w:hint="eastAsia" w:ascii="仿宋" w:hAnsi="仿宋" w:eastAsia="仿宋" w:cs="仿宋"/>
          <w:color w:val="auto"/>
          <w:sz w:val="32"/>
          <w:szCs w:val="32"/>
        </w:rPr>
        <w:t>万元，其中：办公费支出</w:t>
      </w:r>
      <w:r>
        <w:rPr>
          <w:rFonts w:hint="eastAsia" w:ascii="仿宋" w:hAnsi="仿宋" w:eastAsia="仿宋" w:cs="仿宋"/>
          <w:color w:val="auto"/>
          <w:sz w:val="32"/>
          <w:szCs w:val="32"/>
          <w:lang w:val="en-US" w:eastAsia="zh-CN"/>
        </w:rPr>
        <w:t>41</w:t>
      </w:r>
      <w:r>
        <w:rPr>
          <w:rFonts w:hint="eastAsia" w:ascii="仿宋" w:hAnsi="仿宋" w:eastAsia="仿宋" w:cs="仿宋"/>
          <w:color w:val="auto"/>
          <w:sz w:val="32"/>
          <w:szCs w:val="32"/>
        </w:rPr>
        <w:t>万元、印刷费支出</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万元、差旅费支出</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万元等。主要增减变化情况：单位的日常运行及购买货物和服务的资金增加。</w:t>
      </w:r>
    </w:p>
    <w:p>
      <w:pPr>
        <w:ind w:firstLine="640" w:firstLineChars="200"/>
        <w:rPr>
          <w:rFonts w:hint="eastAsia" w:ascii="黑体" w:hAnsi="黑体" w:eastAsia="黑体" w:cs="黑体"/>
          <w:b w:val="0"/>
          <w:bCs/>
          <w:sz w:val="32"/>
          <w:szCs w:val="32"/>
        </w:rPr>
      </w:pPr>
      <w:r>
        <w:rPr>
          <w:rFonts w:hint="eastAsia" w:ascii="黑体" w:hAnsi="黑体" w:eastAsia="黑体" w:cs="黑体"/>
          <w:color w:val="auto"/>
          <w:sz w:val="32"/>
          <w:szCs w:val="32"/>
          <w:lang w:eastAsia="zh-CN"/>
        </w:rPr>
        <w:t>五、</w:t>
      </w:r>
      <w:r>
        <w:rPr>
          <w:rFonts w:hint="eastAsia" w:ascii="黑体" w:hAnsi="黑体" w:eastAsia="黑体" w:cs="黑体"/>
          <w:b w:val="0"/>
          <w:bCs/>
          <w:sz w:val="32"/>
          <w:szCs w:val="32"/>
        </w:rPr>
        <w:t>政府采购</w:t>
      </w:r>
      <w:r>
        <w:rPr>
          <w:rFonts w:hint="eastAsia" w:ascii="黑体" w:hAnsi="黑体" w:eastAsia="黑体" w:cs="黑体"/>
          <w:b w:val="0"/>
          <w:bCs/>
          <w:sz w:val="32"/>
          <w:szCs w:val="32"/>
          <w:lang w:eastAsia="zh-CN"/>
        </w:rPr>
        <w:t>安排</w:t>
      </w:r>
      <w:r>
        <w:rPr>
          <w:rFonts w:hint="eastAsia" w:ascii="黑体" w:hAnsi="黑体" w:eastAsia="黑体" w:cs="黑体"/>
          <w:b w:val="0"/>
          <w:bCs/>
          <w:sz w:val="32"/>
          <w:szCs w:val="32"/>
        </w:rPr>
        <w:t>情况说明</w:t>
      </w:r>
    </w:p>
    <w:p>
      <w:pPr>
        <w:ind w:firstLine="640" w:firstLineChars="200"/>
        <w:rPr>
          <w:rFonts w:hint="eastAsia" w:ascii="仿宋" w:hAnsi="仿宋" w:eastAsia="仿宋" w:cs="仿宋"/>
          <w:color w:val="5B9BD5" w:themeColor="accent1"/>
          <w:sz w:val="32"/>
          <w:szCs w:val="32"/>
          <w14:textFill>
            <w14:solidFill>
              <w14:schemeClr w14:val="accent1"/>
            </w14:solidFill>
          </w14:textFill>
        </w:rPr>
      </w:pPr>
      <w:r>
        <w:rPr>
          <w:rFonts w:hint="eastAsia" w:ascii="仿宋" w:hAnsi="仿宋" w:eastAsia="仿宋" w:cs="仿宋"/>
          <w:color w:val="auto"/>
          <w:sz w:val="32"/>
          <w:szCs w:val="32"/>
        </w:rPr>
        <w:t>本部门202</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年度政府采购安排</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万元，其中：政府采购货物支出0万元、政府采购工程支出0万元、政府采购服务支出0万元。授予中小企业合同金额0万元，占政府采购支出总额的0%。</w:t>
      </w:r>
    </w:p>
    <w:p>
      <w:pPr>
        <w:ind w:firstLine="640" w:firstLineChars="200"/>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w:t>
      </w:r>
      <w:r>
        <w:rPr>
          <w:rFonts w:hint="eastAsia" w:ascii="黑体" w:hAnsi="黑体" w:eastAsia="黑体" w:cs="黑体"/>
          <w:b w:val="0"/>
          <w:bCs/>
          <w:sz w:val="32"/>
          <w:szCs w:val="32"/>
          <w:lang w:eastAsia="zh-CN"/>
        </w:rPr>
        <w:t>对专业性较强的名词进行解释</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财政拨款收入：指单位本年度从本级财政部门取得的财政拨款，包括一般公共预算财政拨款和政府性基金预算财政拨款。</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上级补助收入：指事业单位从主管部门和上级单位取得的非财政补助收入。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经营收入：指事业单位在专业业务活动及其辅助活动之外开展非独立核算经营活动取得的收入。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附属单位缴款：指事业单位附属独立核算单位按照有关规定上缴的收入。</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 xml:space="preserve">其他收入：指单位取得的除上述“财政拨款收入”、“事业收入”、“经营收入”、“附属单位缴款”等以外的各项收入。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 xml:space="preserve">用事业基金弥补收支差额：指事业单位用事业基金弥补当年收支差额的数额。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 xml:space="preserve">年初结转和结余：指单位上年结转本年使用的基本支出结转、项目支出结转和结余和经营结余。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（九）</w:t>
      </w:r>
      <w:r>
        <w:rPr>
          <w:rFonts w:hint="eastAsia" w:ascii="仿宋" w:hAnsi="仿宋" w:eastAsia="仿宋" w:cs="仿宋"/>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（十）</w:t>
      </w:r>
      <w:r>
        <w:rPr>
          <w:rFonts w:hint="eastAsia" w:ascii="仿宋" w:hAnsi="仿宋" w:eastAsia="仿宋" w:cs="仿宋"/>
          <w:sz w:val="32"/>
          <w:szCs w:val="32"/>
        </w:rPr>
        <w:t>年末结转和结余资金：指单位结转下年的基本支出结转、项目支出结转和结余和经营结余。</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十一</w:t>
      </w:r>
      <w:r>
        <w:rPr>
          <w:rFonts w:hint="eastAsia" w:ascii="仿宋" w:hAnsi="仿宋" w:eastAsia="仿宋" w:cs="仿宋"/>
          <w:sz w:val="32"/>
          <w:szCs w:val="32"/>
          <w:lang w:eastAsia="zh-CN"/>
        </w:rPr>
        <w:t>）</w:t>
      </w:r>
      <w:r>
        <w:rPr>
          <w:rFonts w:hint="eastAsia" w:ascii="仿宋" w:hAnsi="仿宋" w:eastAsia="仿宋" w:cs="仿宋"/>
          <w:sz w:val="32"/>
          <w:szCs w:val="32"/>
        </w:rPr>
        <w:t xml:space="preserve">基本支出：指为保障机构正常运转、完成日常工作任务而发生的人员支出和公用支出。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十二</w:t>
      </w:r>
      <w:r>
        <w:rPr>
          <w:rFonts w:hint="eastAsia" w:ascii="仿宋" w:hAnsi="仿宋" w:eastAsia="仿宋" w:cs="仿宋"/>
          <w:sz w:val="32"/>
          <w:szCs w:val="32"/>
          <w:lang w:eastAsia="zh-CN"/>
        </w:rPr>
        <w:t>）</w:t>
      </w:r>
      <w:r>
        <w:rPr>
          <w:rFonts w:hint="eastAsia" w:ascii="仿宋" w:hAnsi="仿宋" w:eastAsia="仿宋" w:cs="仿宋"/>
          <w:sz w:val="32"/>
          <w:szCs w:val="32"/>
        </w:rPr>
        <w:t xml:space="preserve">项目支出：指在基本支出之外为完成特定的行政任务或事业发展目标所发生的支出。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十三</w:t>
      </w:r>
      <w:r>
        <w:rPr>
          <w:rFonts w:hint="eastAsia" w:ascii="仿宋" w:hAnsi="仿宋" w:eastAsia="仿宋" w:cs="仿宋"/>
          <w:sz w:val="32"/>
          <w:szCs w:val="32"/>
          <w:lang w:eastAsia="zh-CN"/>
        </w:rPr>
        <w:t>）</w:t>
      </w:r>
      <w:r>
        <w:rPr>
          <w:rFonts w:hint="eastAsia" w:ascii="仿宋" w:hAnsi="仿宋" w:eastAsia="仿宋" w:cs="仿宋"/>
          <w:sz w:val="32"/>
          <w:szCs w:val="32"/>
        </w:rPr>
        <w:t>上缴上级支出：指事业单位按照财政部门和主管部门的规定上缴上级单位的支出。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十四</w:t>
      </w:r>
      <w:r>
        <w:rPr>
          <w:rFonts w:hint="eastAsia" w:ascii="仿宋" w:hAnsi="仿宋" w:eastAsia="仿宋" w:cs="仿宋"/>
          <w:sz w:val="32"/>
          <w:szCs w:val="32"/>
          <w:lang w:eastAsia="zh-CN"/>
        </w:rPr>
        <w:t>）</w:t>
      </w:r>
      <w:r>
        <w:rPr>
          <w:rFonts w:hint="eastAsia" w:ascii="仿宋" w:hAnsi="仿宋" w:eastAsia="仿宋" w:cs="仿宋"/>
          <w:sz w:val="32"/>
          <w:szCs w:val="32"/>
        </w:rPr>
        <w:t>经营支出：指事业单位在专业业务活动及其辅助活动之外开展非独立核算经营活动发生的支出。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十五</w:t>
      </w:r>
      <w:r>
        <w:rPr>
          <w:rFonts w:hint="eastAsia" w:ascii="仿宋" w:hAnsi="仿宋" w:eastAsia="仿宋" w:cs="仿宋"/>
          <w:sz w:val="32"/>
          <w:szCs w:val="32"/>
          <w:lang w:eastAsia="zh-CN"/>
        </w:rPr>
        <w:t>）</w:t>
      </w:r>
      <w:r>
        <w:rPr>
          <w:rFonts w:hint="eastAsia" w:ascii="仿宋" w:hAnsi="仿宋" w:eastAsia="仿宋" w:cs="仿宋"/>
          <w:sz w:val="32"/>
          <w:szCs w:val="32"/>
        </w:rPr>
        <w:t>对附属单位补助支出：指事业单位用财政补助收入之外的收入对附属单位补助发生的支出。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十六</w:t>
      </w:r>
      <w:r>
        <w:rPr>
          <w:rFonts w:hint="eastAsia" w:ascii="仿宋" w:hAnsi="仿宋" w:eastAsia="仿宋" w:cs="仿宋"/>
          <w:sz w:val="32"/>
          <w:szCs w:val="32"/>
          <w:lang w:eastAsia="zh-CN"/>
        </w:rPr>
        <w:t>）</w:t>
      </w:r>
      <w:r>
        <w:rPr>
          <w:rFonts w:hint="eastAsia" w:ascii="仿宋" w:hAnsi="仿宋" w:eastAsia="仿宋" w:cs="仿宋"/>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十七</w:t>
      </w:r>
      <w:r>
        <w:rPr>
          <w:rFonts w:hint="eastAsia" w:ascii="仿宋" w:hAnsi="仿宋" w:eastAsia="仿宋" w:cs="仿宋"/>
          <w:sz w:val="32"/>
          <w:szCs w:val="32"/>
          <w:lang w:eastAsia="zh-CN"/>
        </w:rPr>
        <w:t>）</w:t>
      </w:r>
      <w:r>
        <w:rPr>
          <w:rFonts w:hint="eastAsia" w:ascii="仿宋" w:hAnsi="仿宋" w:eastAsia="仿宋" w:cs="仿宋"/>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仿宋" w:hAnsi="仿宋" w:eastAsia="仿宋" w:cs="仿宋"/>
          <w:b w:val="0"/>
          <w:bCs/>
          <w:sz w:val="32"/>
          <w:szCs w:val="32"/>
          <w:lang w:val="en-US" w:eastAsia="zh-CN"/>
        </w:rPr>
      </w:pPr>
      <w:r>
        <w:rPr>
          <w:rFonts w:hint="eastAsia" w:ascii="黑体" w:hAnsi="黑体" w:eastAsia="黑体" w:cs="黑体"/>
          <w:b w:val="0"/>
          <w:bCs/>
          <w:sz w:val="32"/>
          <w:szCs w:val="32"/>
          <w:lang w:eastAsia="zh-CN"/>
        </w:rPr>
        <w:t>七、国有</w:t>
      </w:r>
      <w:r>
        <w:rPr>
          <w:rFonts w:hint="eastAsia" w:ascii="黑体" w:hAnsi="黑体" w:eastAsia="黑体" w:cs="黑体"/>
          <w:b w:val="0"/>
          <w:bCs/>
          <w:sz w:val="32"/>
          <w:szCs w:val="32"/>
          <w:lang w:val="en-US" w:eastAsia="zh-CN"/>
        </w:rPr>
        <w:t>资产占用情况说明</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截止201</w:t>
      </w:r>
      <w:r>
        <w:rPr>
          <w:rFonts w:hint="eastAsia" w:ascii="仿宋" w:hAnsi="仿宋" w:eastAsia="仿宋" w:cs="仿宋"/>
          <w:color w:val="auto"/>
          <w:sz w:val="32"/>
          <w:szCs w:val="32"/>
          <w:shd w:val="clear" w:color="auto" w:fill="FFFFFF"/>
          <w:lang w:val="en-US" w:eastAsia="zh-CN"/>
        </w:rPr>
        <w:t>9</w:t>
      </w:r>
      <w:r>
        <w:rPr>
          <w:rFonts w:hint="eastAsia" w:ascii="仿宋" w:hAnsi="仿宋" w:eastAsia="仿宋" w:cs="仿宋"/>
          <w:color w:val="auto"/>
          <w:sz w:val="32"/>
          <w:szCs w:val="32"/>
          <w:shd w:val="clear" w:color="auto" w:fill="FFFFFF"/>
        </w:rPr>
        <w:t>年12月31日，</w:t>
      </w:r>
      <w:r>
        <w:rPr>
          <w:rFonts w:hint="eastAsia" w:ascii="仿宋" w:hAnsi="仿宋" w:eastAsia="仿宋" w:cs="仿宋"/>
          <w:color w:val="auto"/>
          <w:sz w:val="32"/>
          <w:szCs w:val="32"/>
          <w:shd w:val="clear" w:color="auto" w:fill="FFFFFF"/>
          <w:lang w:eastAsia="zh-CN"/>
        </w:rPr>
        <w:t>本单位</w:t>
      </w:r>
      <w:r>
        <w:rPr>
          <w:rFonts w:hint="eastAsia" w:ascii="仿宋" w:hAnsi="仿宋" w:eastAsia="仿宋" w:cs="仿宋"/>
          <w:color w:val="auto"/>
          <w:sz w:val="32"/>
          <w:szCs w:val="32"/>
          <w:shd w:val="clear" w:color="auto" w:fill="FFFFFF"/>
        </w:rPr>
        <w:t>资产总额</w:t>
      </w:r>
      <w:r>
        <w:rPr>
          <w:rFonts w:hint="eastAsia" w:ascii="仿宋" w:hAnsi="仿宋" w:eastAsia="仿宋" w:cs="仿宋"/>
          <w:color w:val="auto"/>
          <w:sz w:val="32"/>
          <w:szCs w:val="32"/>
          <w:shd w:val="clear" w:color="auto" w:fill="FFFFFF"/>
          <w:lang w:val="en-US" w:eastAsia="zh-CN"/>
        </w:rPr>
        <w:t xml:space="preserve">5030.75 </w:t>
      </w:r>
      <w:r>
        <w:rPr>
          <w:rFonts w:hint="eastAsia" w:ascii="仿宋" w:hAnsi="仿宋" w:eastAsia="仿宋" w:cs="仿宋"/>
          <w:color w:val="auto"/>
          <w:sz w:val="32"/>
          <w:szCs w:val="32"/>
          <w:shd w:val="clear" w:color="auto" w:fill="FFFFFF"/>
        </w:rPr>
        <w:t>万元，其中流动资产</w:t>
      </w:r>
      <w:r>
        <w:rPr>
          <w:rFonts w:hint="eastAsia" w:ascii="仿宋" w:hAnsi="仿宋" w:eastAsia="仿宋" w:cs="仿宋"/>
          <w:color w:val="auto"/>
          <w:sz w:val="32"/>
          <w:szCs w:val="32"/>
          <w:shd w:val="clear" w:color="auto" w:fill="FFFFFF"/>
          <w:lang w:val="en-US" w:eastAsia="zh-CN"/>
        </w:rPr>
        <w:t>1173.44</w:t>
      </w:r>
      <w:r>
        <w:rPr>
          <w:rFonts w:hint="eastAsia" w:ascii="仿宋" w:hAnsi="仿宋" w:eastAsia="仿宋" w:cs="仿宋"/>
          <w:color w:val="auto"/>
          <w:sz w:val="32"/>
          <w:szCs w:val="32"/>
          <w:shd w:val="clear" w:color="auto" w:fill="FFFFFF"/>
        </w:rPr>
        <w:t>万元，固定资产</w:t>
      </w:r>
      <w:r>
        <w:rPr>
          <w:rFonts w:hint="eastAsia" w:ascii="仿宋" w:hAnsi="仿宋" w:eastAsia="仿宋" w:cs="仿宋"/>
          <w:color w:val="auto"/>
          <w:sz w:val="32"/>
          <w:szCs w:val="32"/>
          <w:shd w:val="clear" w:color="auto" w:fill="FFFFFF"/>
          <w:lang w:val="en-US" w:eastAsia="zh-CN"/>
        </w:rPr>
        <w:t>3857.31</w:t>
      </w:r>
      <w:r>
        <w:rPr>
          <w:rFonts w:hint="eastAsia" w:ascii="仿宋" w:hAnsi="仿宋" w:eastAsia="仿宋" w:cs="仿宋"/>
          <w:color w:val="auto"/>
          <w:sz w:val="32"/>
          <w:szCs w:val="32"/>
          <w:shd w:val="clear" w:color="auto" w:fill="FFFFFF"/>
        </w:rPr>
        <w:t>万元，在建工程</w:t>
      </w:r>
      <w:r>
        <w:rPr>
          <w:rFonts w:hint="eastAsia" w:ascii="仿宋" w:hAnsi="仿宋" w:eastAsia="仿宋" w:cs="仿宋"/>
          <w:color w:val="auto"/>
          <w:sz w:val="32"/>
          <w:szCs w:val="32"/>
          <w:shd w:val="clear" w:color="auto" w:fill="FFFFFF"/>
          <w:lang w:val="en-US" w:eastAsia="zh-CN"/>
        </w:rPr>
        <w:t xml:space="preserve"> 0</w:t>
      </w:r>
      <w:r>
        <w:rPr>
          <w:rFonts w:hint="eastAsia" w:ascii="仿宋" w:hAnsi="仿宋" w:eastAsia="仿宋" w:cs="仿宋"/>
          <w:color w:val="auto"/>
          <w:sz w:val="32"/>
          <w:szCs w:val="32"/>
          <w:shd w:val="clear" w:color="auto" w:fill="FFFFFF"/>
        </w:rPr>
        <w:t>万元，无形资产</w:t>
      </w:r>
      <w:r>
        <w:rPr>
          <w:rFonts w:hint="eastAsia" w:ascii="仿宋" w:hAnsi="仿宋" w:eastAsia="仿宋" w:cs="仿宋"/>
          <w:color w:val="auto"/>
          <w:sz w:val="32"/>
          <w:szCs w:val="32"/>
          <w:shd w:val="clear" w:color="auto" w:fill="FFFFFF"/>
          <w:lang w:val="en-US" w:eastAsia="zh-CN"/>
        </w:rPr>
        <w:t>0</w:t>
      </w:r>
      <w:r>
        <w:rPr>
          <w:rFonts w:hint="eastAsia" w:ascii="仿宋" w:hAnsi="仿宋" w:eastAsia="仿宋" w:cs="仿宋"/>
          <w:color w:val="auto"/>
          <w:sz w:val="32"/>
          <w:szCs w:val="32"/>
          <w:shd w:val="clear" w:color="auto" w:fill="FFFFFF"/>
        </w:rPr>
        <w:t>万元</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固定资产当中，房屋构筑物</w:t>
      </w:r>
      <w:r>
        <w:rPr>
          <w:rFonts w:hint="eastAsia" w:ascii="仿宋" w:hAnsi="仿宋" w:eastAsia="仿宋" w:cs="仿宋"/>
          <w:color w:val="auto"/>
          <w:sz w:val="32"/>
          <w:szCs w:val="32"/>
          <w:shd w:val="clear" w:color="auto" w:fill="FFFFFF"/>
          <w:lang w:val="en-US" w:eastAsia="zh-CN"/>
        </w:rPr>
        <w:t>923.07</w:t>
      </w:r>
      <w:r>
        <w:rPr>
          <w:rFonts w:hint="eastAsia" w:ascii="仿宋" w:hAnsi="仿宋" w:eastAsia="仿宋" w:cs="仿宋"/>
          <w:color w:val="auto"/>
          <w:sz w:val="32"/>
          <w:szCs w:val="32"/>
          <w:shd w:val="clear" w:color="auto" w:fill="FFFFFF"/>
        </w:rPr>
        <w:t>万元，汽车</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辆</w:t>
      </w:r>
      <w:r>
        <w:rPr>
          <w:rFonts w:hint="eastAsia" w:ascii="仿宋" w:hAnsi="仿宋" w:eastAsia="仿宋" w:cs="仿宋"/>
          <w:color w:val="auto"/>
          <w:sz w:val="32"/>
          <w:szCs w:val="32"/>
          <w:shd w:val="clear" w:color="auto" w:fill="FFFFFF"/>
          <w:lang w:val="en-US" w:eastAsia="zh-CN"/>
        </w:rPr>
        <w:t>547.95</w:t>
      </w:r>
      <w:r>
        <w:rPr>
          <w:rFonts w:hint="eastAsia" w:ascii="仿宋" w:hAnsi="仿宋" w:eastAsia="仿宋" w:cs="仿宋"/>
          <w:color w:val="auto"/>
          <w:sz w:val="32"/>
          <w:szCs w:val="32"/>
          <w:shd w:val="clear" w:color="auto" w:fill="FFFFFF"/>
        </w:rPr>
        <w:t>万元，单价200万元以上大型设备价值</w:t>
      </w:r>
      <w:r>
        <w:rPr>
          <w:rFonts w:hint="eastAsia" w:ascii="仿宋" w:hAnsi="仿宋" w:eastAsia="仿宋" w:cs="仿宋"/>
          <w:color w:val="auto"/>
          <w:sz w:val="32"/>
          <w:szCs w:val="32"/>
          <w:shd w:val="clear" w:color="auto" w:fill="FFFFFF"/>
          <w:lang w:val="en-US" w:eastAsia="zh-CN"/>
        </w:rPr>
        <w:t>1580.67</w:t>
      </w:r>
      <w:r>
        <w:rPr>
          <w:rFonts w:hint="eastAsia" w:ascii="仿宋" w:hAnsi="仿宋" w:eastAsia="仿宋" w:cs="仿宋"/>
          <w:color w:val="auto"/>
          <w:sz w:val="32"/>
          <w:szCs w:val="32"/>
          <w:shd w:val="clear" w:color="auto" w:fill="FFFFFF"/>
        </w:rPr>
        <w:t>万元，其他固定资产</w:t>
      </w:r>
      <w:r>
        <w:rPr>
          <w:rFonts w:hint="eastAsia" w:ascii="仿宋" w:hAnsi="仿宋" w:eastAsia="仿宋" w:cs="仿宋"/>
          <w:color w:val="auto"/>
          <w:sz w:val="32"/>
          <w:szCs w:val="32"/>
          <w:shd w:val="clear" w:color="auto" w:fill="FFFFFF"/>
          <w:lang w:val="en-US" w:eastAsia="zh-CN"/>
        </w:rPr>
        <w:t>805.62</w:t>
      </w:r>
      <w:r>
        <w:rPr>
          <w:rFonts w:hint="eastAsia" w:ascii="仿宋" w:hAnsi="仿宋" w:eastAsia="仿宋" w:cs="仿宋"/>
          <w:color w:val="auto"/>
          <w:sz w:val="32"/>
          <w:szCs w:val="32"/>
          <w:shd w:val="clear" w:color="auto" w:fill="FFFFFF"/>
        </w:rPr>
        <w:t>万元。 </w:t>
      </w:r>
    </w:p>
    <w:p>
      <w:p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color w:val="auto"/>
          <w:sz w:val="32"/>
          <w:szCs w:val="32"/>
          <w:shd w:val="clear" w:color="auto" w:fill="FFFFFF"/>
        </w:rPr>
        <w:t>与上年相比，本年资产总额</w:t>
      </w:r>
      <w:r>
        <w:rPr>
          <w:rFonts w:hint="eastAsia" w:ascii="仿宋" w:hAnsi="仿宋" w:eastAsia="仿宋" w:cs="仿宋"/>
          <w:color w:val="auto"/>
          <w:sz w:val="32"/>
          <w:szCs w:val="32"/>
          <w:shd w:val="clear" w:color="auto" w:fill="FFFFFF"/>
          <w:lang w:eastAsia="zh-CN"/>
        </w:rPr>
        <w:t>减少</w:t>
      </w:r>
      <w:r>
        <w:rPr>
          <w:rFonts w:hint="eastAsia" w:ascii="仿宋" w:hAnsi="仿宋" w:eastAsia="仿宋" w:cs="仿宋"/>
          <w:color w:val="auto"/>
          <w:sz w:val="32"/>
          <w:szCs w:val="32"/>
          <w:shd w:val="clear" w:color="auto" w:fill="FFFFFF"/>
          <w:lang w:val="en-US" w:eastAsia="zh-CN"/>
        </w:rPr>
        <w:t>15.87</w:t>
      </w:r>
      <w:r>
        <w:rPr>
          <w:rFonts w:hint="eastAsia" w:ascii="仿宋" w:hAnsi="仿宋" w:eastAsia="仿宋" w:cs="仿宋"/>
          <w:color w:val="auto"/>
          <w:sz w:val="32"/>
          <w:szCs w:val="32"/>
          <w:shd w:val="clear" w:color="auto" w:fill="FFFFFF"/>
        </w:rPr>
        <w:t>万元。</w:t>
      </w:r>
    </w:p>
    <w:p>
      <w:pPr>
        <w:ind w:firstLine="640" w:firstLineChars="20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我单位本年度项目支出977.9万元，其中：重点项目支出346.57万元，重点项目分3个，具体执行进度、使用绩效等情况说明如下：</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1.项目名称：襄长快速路等路段安装电子监控工程尾款项目。</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项目概况：①项目实施范围</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项目实施周期：2019年01月01日至2019年12月31日</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项目实施涉及地点： 襄长快速路、东外环、北外环等路段安装电子监控</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②项目实施内容</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心机房建设、古韩大道看守所区间测速、长安大道起点区间测速、长安大道终点区间测速、襄长快速路起点区间测速、襄长快速路终点区间测速、省道102线进北外环口闯禁令、208国道大货车超速变道卡口6处、北底口与北外环十字电警、东外环与五上线十字口电警、襄长线快速路东山底十字电警、襄长快速路南沟桥丁字口电警、襄长快速路西山底丁字口电警、襄长快速路五阳村口监控球机。</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③项目实施标准</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项目建设等级：工程质量符合公安部相关规范标 标准</w:t>
      </w:r>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本次项目实施涉及部门包括：大队办公室、设施科、指挥中心                                              </w:t>
      </w:r>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成立项目领导组：大队成立项目领导小组：组长由大队长史晓钟担任、副组长成员由曹队长及涉及科室负责人担任。</w:t>
      </w:r>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项目总目标：通过本项目的实施，重点解决襄长快速路等路段，减少机动车违法行为，降低交通事故发生，维护交通秩序和社会治安秩序，使警力得到高效的指挥调度问题，改善襄长快速路和外环路的通行环境，提升人民群众的出行安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年度目标：襄长快速路等路段电子监控系统建设项目，该工程已完工，工程质量符合公安部相关规范标准，项目投入使用后，解决了襄长快速路和外环路道路交通事故多发频发的问题，使人民群众出行的满意度达到95%。</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项目实施计划：该工程现已完工，并以审计。截至目前工程尾款1595308.76元，资金到位后及时支付给欠款单位。</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项目绩效目标：1、改善襄长快速路通行环境，</w:t>
      </w:r>
    </w:p>
    <w:p>
      <w:pPr>
        <w:keepNext w:val="0"/>
        <w:keepLines w:val="0"/>
        <w:pageBreakBefore w:val="0"/>
        <w:widowControl w:val="0"/>
        <w:numPr>
          <w:ilvl w:val="0"/>
          <w:numId w:val="1"/>
        </w:numPr>
        <w:kinsoku/>
        <w:wordWrap/>
        <w:overflowPunct/>
        <w:topLinePunct w:val="0"/>
        <w:autoSpaceDE/>
        <w:autoSpaceDN/>
        <w:bidi w:val="0"/>
        <w:adjustRightInd/>
        <w:snapToGrid/>
        <w:ind w:left="288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减少车辆违法行为，</w:t>
      </w:r>
    </w:p>
    <w:p>
      <w:pPr>
        <w:keepNext w:val="0"/>
        <w:keepLines w:val="0"/>
        <w:pageBreakBefore w:val="0"/>
        <w:widowControl w:val="0"/>
        <w:numPr>
          <w:ilvl w:val="0"/>
          <w:numId w:val="1"/>
        </w:numPr>
        <w:kinsoku/>
        <w:wordWrap/>
        <w:overflowPunct/>
        <w:topLinePunct w:val="0"/>
        <w:autoSpaceDE/>
        <w:autoSpaceDN/>
        <w:bidi w:val="0"/>
        <w:adjustRightInd/>
        <w:snapToGrid/>
        <w:ind w:left="288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提升道路交通信息准确率，</w:t>
      </w:r>
    </w:p>
    <w:p>
      <w:pPr>
        <w:keepNext w:val="0"/>
        <w:keepLines w:val="0"/>
        <w:pageBreakBefore w:val="0"/>
        <w:widowControl w:val="0"/>
        <w:numPr>
          <w:ilvl w:val="0"/>
          <w:numId w:val="1"/>
        </w:numPr>
        <w:kinsoku/>
        <w:wordWrap/>
        <w:overflowPunct/>
        <w:topLinePunct w:val="0"/>
        <w:autoSpaceDE/>
        <w:autoSpaceDN/>
        <w:bidi w:val="0"/>
        <w:adjustRightInd/>
        <w:snapToGrid/>
        <w:ind w:left="288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提高人民群众出行满意度。</w:t>
      </w:r>
    </w:p>
    <w:p>
      <w:pPr>
        <w:keepNext w:val="0"/>
        <w:keepLines w:val="0"/>
        <w:pageBreakBefore w:val="0"/>
        <w:widowControl w:val="0"/>
        <w:numPr>
          <w:ilvl w:val="0"/>
          <w:numId w:val="0"/>
        </w:numPr>
        <w:kinsoku/>
        <w:wordWrap/>
        <w:overflowPunct/>
        <w:topLinePunct w:val="0"/>
        <w:autoSpaceDE/>
        <w:autoSpaceDN/>
        <w:bidi w:val="0"/>
        <w:adjustRightInd/>
        <w:snapToGrid/>
        <w:ind w:left="630" w:leftChars="0"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2.项目名称：县城主要街道安装电子监控工程尾款项目。</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项目概况：   ①项目实施范围</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项目实施周期：2019年01月01日至2019年12月31日</w:t>
      </w:r>
    </w:p>
    <w:p>
      <w:pPr>
        <w:keepNext w:val="0"/>
        <w:keepLines w:val="0"/>
        <w:pageBreakBefore w:val="0"/>
        <w:widowControl w:val="0"/>
        <w:numPr>
          <w:ilvl w:val="0"/>
          <w:numId w:val="0"/>
        </w:numPr>
        <w:kinsoku/>
        <w:wordWrap/>
        <w:overflowPunct/>
        <w:topLinePunct w:val="0"/>
        <w:autoSpaceDE/>
        <w:autoSpaceDN/>
        <w:bidi w:val="0"/>
        <w:adjustRightInd/>
        <w:snapToGrid/>
        <w:ind w:left="1058" w:leftChars="5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项目实施涉及地点： 县城主要街道电子监控系统                           ②项目实施内容</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中心机房建设、滨河东路与迎宾东街十字口电警、十字道环岛闯禁令、逆行抓拍、火车站十字口电警、五阳矿朝阳街和滨河路五岔口电警、广播局十字口电警、县城主要路段违停车辆抓拍15处。</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③项目实施标准</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项目建设等级：工程质量符合公安部相关规范标准</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本次项目实施涉及部门包括：大队办公室、设施科、指挥中心。                                              </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大队成立项目领导小组：组长由大队长史晓钟担任、副组长成员由曹队长及涉及科室负责人担任。</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总目标：通过本项目的实施，重点解县城主要街道等路段，决减少机动车违法行为，降低交通事故发生，维护交通秩序和社会治安秩序，使警力得到高效的指挥调度问题，改善县城的道路通行环境，提升人民群众的出行安全。</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项目年度目标：县城主要街道电子监控系统建设项目，该工程已完工，工程质量符合公安部相关规范标准，项目投入使用后，解决了县城车辆乱停乱放的问题，使人民群众出行的满意度达到95%。</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项目实施计划：该工程现已完工，并以审计，截至目前还欠870477.57元，资金到位后及时支付给欠款单位。</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项目绩效目标：1、提升县城道路通行环境，提高办公效率，</w:t>
      </w:r>
    </w:p>
    <w:p>
      <w:pPr>
        <w:keepNext w:val="0"/>
        <w:keepLines w:val="0"/>
        <w:pageBreakBefore w:val="0"/>
        <w:widowControl w:val="0"/>
        <w:numPr>
          <w:ilvl w:val="0"/>
          <w:numId w:val="2"/>
        </w:numPr>
        <w:kinsoku/>
        <w:wordWrap/>
        <w:overflowPunct/>
        <w:topLinePunct w:val="0"/>
        <w:autoSpaceDE/>
        <w:autoSpaceDN/>
        <w:bidi w:val="0"/>
        <w:adjustRightInd/>
        <w:snapToGrid/>
        <w:ind w:left="330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降低道路拥堵率，</w:t>
      </w:r>
    </w:p>
    <w:p>
      <w:pPr>
        <w:keepNext w:val="0"/>
        <w:keepLines w:val="0"/>
        <w:pageBreakBefore w:val="0"/>
        <w:widowControl w:val="0"/>
        <w:numPr>
          <w:ilvl w:val="0"/>
          <w:numId w:val="2"/>
        </w:numPr>
        <w:kinsoku/>
        <w:wordWrap/>
        <w:overflowPunct/>
        <w:topLinePunct w:val="0"/>
        <w:autoSpaceDE/>
        <w:autoSpaceDN/>
        <w:bidi w:val="0"/>
        <w:adjustRightInd/>
        <w:snapToGrid/>
        <w:ind w:left="330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提升道路交通事故侦破率，</w:t>
      </w:r>
    </w:p>
    <w:p>
      <w:pPr>
        <w:keepNext w:val="0"/>
        <w:keepLines w:val="0"/>
        <w:pageBreakBefore w:val="0"/>
        <w:widowControl w:val="0"/>
        <w:numPr>
          <w:ilvl w:val="0"/>
          <w:numId w:val="2"/>
        </w:numPr>
        <w:kinsoku/>
        <w:wordWrap/>
        <w:overflowPunct/>
        <w:topLinePunct w:val="0"/>
        <w:autoSpaceDE/>
        <w:autoSpaceDN/>
        <w:bidi w:val="0"/>
        <w:adjustRightInd/>
        <w:snapToGrid/>
        <w:ind w:left="330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提供精准的道路信息情况。</w:t>
      </w:r>
    </w:p>
    <w:p>
      <w:pPr>
        <w:keepNext w:val="0"/>
        <w:keepLines w:val="0"/>
        <w:pageBreakBefore w:val="0"/>
        <w:widowControl w:val="0"/>
        <w:numPr>
          <w:ilvl w:val="0"/>
          <w:numId w:val="0"/>
        </w:numPr>
        <w:kinsoku/>
        <w:wordWrap/>
        <w:overflowPunct/>
        <w:topLinePunct w:val="0"/>
        <w:autoSpaceDE/>
        <w:autoSpaceDN/>
        <w:bidi w:val="0"/>
        <w:adjustRightInd/>
        <w:snapToGrid/>
        <w:ind w:left="63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3.项目名称：新增道路安装交通信号灯及电子监控工程</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项目概况：①项目实施范围</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项目实施周期：2019年9月15日至2019年12月31日</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项目实施涉及地点：朝阳街口与滨河东路口、阳光路北口与迎宾东街口、高铁站前链接线与滨河西路口等10处安装交通信号灯及电子监控系统</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内容：为进一步规范县城主要街道的行车秩序，预防和减少道路交通事故发生，经县委县政府研究通过，本项目已列入全县重点工程。我大队拟在朝阳街口与滨河东路口、阳光路北口与迎宾东街口、高铁站前链接线与滨河西路口等10处安装交通信号灯及电子监控系统。</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项目实施标准：项目建设等级：工程质量符合公安部相关规范标 。</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本次项目实施涉及部门包括：大队办公室、设施科、指挥中心。                                              </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大队成立项目领导小组：组长由大队长史晓钟担任、副组长成员由曹队长及涉及科室负责人担任。</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总目标：通过本项目的实施，重点解决新开通道路的通行环境，减少机动车违法行为，降低交通事故发生，维护交通秩序和社会治安秩序，使警力得到高效的指挥调度问题，改善六路口通行环境，提升人民群众的出行安全。</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年度目标：本年度完成朝阳街口与滨河东路口、阳光路北口与迎宾东街口、高铁站前链接线与滨河西路口等10处安装交通信号灯及电子监控系统，项目投入使用后，降低事故发生率30%，人民群众出行的满意度95%。</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项目实施计划：项目于2019年9月开工，由大队设施科及监理公司负责项目的实施及监督验收工作，该工程已完成工程量70%，现支付工程进度款100万元。</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项目绩效目标：1、改善新开通道路通行环境，</w:t>
      </w:r>
    </w:p>
    <w:p>
      <w:pPr>
        <w:keepNext w:val="0"/>
        <w:keepLines w:val="0"/>
        <w:pageBreakBefore w:val="0"/>
        <w:widowControl w:val="0"/>
        <w:numPr>
          <w:ilvl w:val="0"/>
          <w:numId w:val="3"/>
        </w:numPr>
        <w:kinsoku/>
        <w:wordWrap/>
        <w:overflowPunct/>
        <w:topLinePunct w:val="0"/>
        <w:autoSpaceDE/>
        <w:autoSpaceDN/>
        <w:bidi w:val="0"/>
        <w:adjustRightInd/>
        <w:snapToGrid/>
        <w:ind w:left="35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保障人民群众安全出行，</w:t>
      </w:r>
    </w:p>
    <w:p>
      <w:pPr>
        <w:keepNext w:val="0"/>
        <w:keepLines w:val="0"/>
        <w:pageBreakBefore w:val="0"/>
        <w:widowControl w:val="0"/>
        <w:numPr>
          <w:ilvl w:val="0"/>
          <w:numId w:val="3"/>
        </w:numPr>
        <w:kinsoku/>
        <w:wordWrap/>
        <w:overflowPunct/>
        <w:topLinePunct w:val="0"/>
        <w:autoSpaceDE/>
        <w:autoSpaceDN/>
        <w:bidi w:val="0"/>
        <w:adjustRightInd/>
        <w:snapToGrid/>
        <w:ind w:left="35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降低道路交通事故发生率，</w:t>
      </w:r>
    </w:p>
    <w:p>
      <w:pPr>
        <w:keepNext w:val="0"/>
        <w:keepLines w:val="0"/>
        <w:pageBreakBefore w:val="0"/>
        <w:widowControl w:val="0"/>
        <w:numPr>
          <w:ilvl w:val="0"/>
          <w:numId w:val="3"/>
        </w:numPr>
        <w:kinsoku/>
        <w:wordWrap/>
        <w:overflowPunct/>
        <w:topLinePunct w:val="0"/>
        <w:autoSpaceDE/>
        <w:autoSpaceDN/>
        <w:bidi w:val="0"/>
        <w:adjustRightInd/>
        <w:snapToGrid/>
        <w:ind w:left="35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人民群众满意度。</w:t>
      </w:r>
    </w:p>
    <w:p>
      <w:pPr>
        <w:ind w:firstLine="640" w:firstLineChars="200"/>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九、</w:t>
      </w:r>
      <w:r>
        <w:rPr>
          <w:rFonts w:hint="eastAsia" w:ascii="黑体" w:hAnsi="黑体" w:eastAsia="黑体" w:cs="黑体"/>
          <w:b w:val="0"/>
          <w:bCs/>
          <w:sz w:val="32"/>
          <w:szCs w:val="32"/>
        </w:rPr>
        <w:t>一般公共预算“三公”经费支出</w:t>
      </w:r>
      <w:r>
        <w:rPr>
          <w:rFonts w:hint="eastAsia" w:ascii="黑体" w:hAnsi="黑体" w:eastAsia="黑体" w:cs="黑体"/>
          <w:b w:val="0"/>
          <w:bCs/>
          <w:sz w:val="32"/>
          <w:szCs w:val="32"/>
          <w:lang w:eastAsia="zh-CN"/>
        </w:rPr>
        <w:t>增减变化原因等说明</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本部门202</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年度一般公共预算“三公”经费预算数为</w:t>
      </w:r>
      <w:r>
        <w:rPr>
          <w:rFonts w:hint="eastAsia" w:ascii="仿宋" w:hAnsi="仿宋" w:eastAsia="仿宋" w:cs="仿宋"/>
          <w:color w:val="auto"/>
          <w:sz w:val="32"/>
          <w:szCs w:val="32"/>
          <w:lang w:val="en-US" w:eastAsia="zh-CN"/>
        </w:rPr>
        <w:t>28</w:t>
      </w:r>
      <w:r>
        <w:rPr>
          <w:rFonts w:hint="eastAsia" w:ascii="仿宋" w:hAnsi="仿宋" w:eastAsia="仿宋" w:cs="仿宋"/>
          <w:color w:val="auto"/>
          <w:sz w:val="32"/>
          <w:szCs w:val="32"/>
        </w:rPr>
        <w:t xml:space="preserve"> 万元，较20</w:t>
      </w:r>
      <w:r>
        <w:rPr>
          <w:rFonts w:hint="eastAsia" w:ascii="仿宋" w:hAnsi="仿宋" w:eastAsia="仿宋" w:cs="仿宋"/>
          <w:color w:val="auto"/>
          <w:sz w:val="32"/>
          <w:szCs w:val="32"/>
          <w:lang w:val="en-US" w:eastAsia="zh-CN"/>
        </w:rPr>
        <w:t>19</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 xml:space="preserve"> 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16.6</w:t>
      </w:r>
      <w:r>
        <w:rPr>
          <w:rFonts w:hint="eastAsia" w:ascii="仿宋" w:hAnsi="仿宋" w:eastAsia="仿宋" w:cs="仿宋"/>
          <w:color w:val="auto"/>
          <w:sz w:val="32"/>
          <w:szCs w:val="32"/>
        </w:rPr>
        <w:t>%，其中：</w:t>
      </w:r>
    </w:p>
    <w:p>
      <w:pPr>
        <w:numPr>
          <w:ilvl w:val="0"/>
          <w:numId w:val="4"/>
        </w:num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因公出国（境）支出年初预算数为0万元，因公出国（境）团组数为0，人数为0。较2018年增加（减少）0万元，增长（下降）0%。</w:t>
      </w:r>
    </w:p>
    <w:p>
      <w:pPr>
        <w:rPr>
          <w:rFonts w:hint="eastAsia" w:ascii="仿宋" w:hAnsi="仿宋" w:eastAsia="仿宋" w:cs="仿宋"/>
          <w:color w:val="auto"/>
          <w:sz w:val="32"/>
          <w:szCs w:val="32"/>
        </w:rPr>
      </w:pPr>
      <w:r>
        <w:rPr>
          <w:rFonts w:hint="eastAsia" w:ascii="仿宋" w:hAnsi="仿宋" w:eastAsia="仿宋" w:cs="仿宋"/>
          <w:color w:val="auto"/>
          <w:sz w:val="32"/>
          <w:szCs w:val="32"/>
        </w:rPr>
        <w:t>　　（二）公务接待费支出年初预算数为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万元。主要原因是：专项活动减少。</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（三）公务用车购置及运行维护费支出</w:t>
      </w:r>
      <w:r>
        <w:rPr>
          <w:rFonts w:hint="eastAsia" w:ascii="仿宋" w:hAnsi="仿宋" w:eastAsia="仿宋" w:cs="仿宋"/>
          <w:color w:val="auto"/>
          <w:sz w:val="32"/>
          <w:szCs w:val="32"/>
          <w:lang w:val="en-US" w:eastAsia="zh-CN"/>
        </w:rPr>
        <w:t>28</w:t>
      </w:r>
      <w:r>
        <w:rPr>
          <w:rFonts w:hint="eastAsia" w:ascii="仿宋" w:hAnsi="仿宋" w:eastAsia="仿宋" w:cs="仿宋"/>
          <w:color w:val="auto"/>
          <w:sz w:val="32"/>
          <w:szCs w:val="32"/>
        </w:rPr>
        <w:t>万元，其中公务用车购置年初预算数为0万元，较2020年增加（减少）0万元，增长（下降）0%；公务用车运行维护费支出年初预算数为</w:t>
      </w:r>
      <w:r>
        <w:rPr>
          <w:rFonts w:hint="eastAsia" w:ascii="仿宋" w:hAnsi="仿宋" w:eastAsia="仿宋" w:cs="仿宋"/>
          <w:color w:val="auto"/>
          <w:sz w:val="32"/>
          <w:szCs w:val="32"/>
          <w:lang w:val="en-US" w:eastAsia="zh-CN"/>
        </w:rPr>
        <w:t>28</w:t>
      </w:r>
      <w:r>
        <w:rPr>
          <w:rFonts w:hint="eastAsia" w:ascii="仿宋" w:hAnsi="仿宋" w:eastAsia="仿宋" w:cs="仿宋"/>
          <w:color w:val="auto"/>
          <w:sz w:val="32"/>
          <w:szCs w:val="32"/>
        </w:rPr>
        <w:t>万元，较20</w:t>
      </w:r>
      <w:r>
        <w:rPr>
          <w:rFonts w:hint="eastAsia" w:ascii="仿宋" w:hAnsi="仿宋" w:eastAsia="仿宋" w:cs="仿宋"/>
          <w:color w:val="auto"/>
          <w:sz w:val="32"/>
          <w:szCs w:val="32"/>
          <w:lang w:val="en-US" w:eastAsia="zh-CN"/>
        </w:rPr>
        <w:t>19</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增加</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16.6</w:t>
      </w:r>
      <w:r>
        <w:rPr>
          <w:rFonts w:hint="eastAsia" w:ascii="仿宋" w:hAnsi="仿宋" w:eastAsia="仿宋" w:cs="仿宋"/>
          <w:color w:val="auto"/>
          <w:sz w:val="32"/>
          <w:szCs w:val="32"/>
        </w:rPr>
        <w:t>%。本年度公务用车购置数0辆，公务用车保有量21辆。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十、政府性基金预算支出预算情况说明</w:t>
      </w:r>
    </w:p>
    <w:p>
      <w:pPr>
        <w:ind w:firstLine="640" w:firstLineChars="200"/>
        <w:rPr>
          <w:rFonts w:hint="eastAsia" w:ascii="仿宋" w:hAnsi="仿宋" w:eastAsia="仿宋" w:cs="仿宋"/>
          <w:sz w:val="32"/>
          <w:szCs w:val="32"/>
        </w:rPr>
      </w:pPr>
      <w:r>
        <w:rPr>
          <w:rFonts w:hint="eastAsia" w:ascii="仿宋" w:hAnsi="仿宋" w:eastAsia="仿宋" w:cs="仿宋"/>
          <w:color w:val="auto"/>
          <w:sz w:val="32"/>
          <w:szCs w:val="32"/>
        </w:rPr>
        <w:t>本单位本年度无此项预算，故无此项说明。</w:t>
      </w:r>
    </w:p>
    <w:p>
      <w:pPr>
        <w:ind w:firstLine="640" w:firstLineChars="200"/>
        <w:rPr>
          <w:rFonts w:asciiTheme="minorEastAsia" w:hAnsiTheme="minorEastAsia" w:cstheme="minorEastAsia"/>
          <w:sz w:val="32"/>
          <w:szCs w:val="32"/>
        </w:rPr>
      </w:pPr>
    </w:p>
    <w:p>
      <w:pPr>
        <w:rPr>
          <w:rFonts w:asciiTheme="minorEastAsia" w:hAnsiTheme="minorEastAsia" w:cstheme="minorEastAsia"/>
          <w:sz w:val="32"/>
          <w:szCs w:val="32"/>
        </w:rPr>
      </w:pPr>
      <w:bookmarkStart w:id="0" w:name="_GoBack"/>
      <w:bookmarkEnd w:id="0"/>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1EB9C34B"/>
    <w:multiLevelType w:val="singleLevel"/>
    <w:tmpl w:val="1EB9C34B"/>
    <w:lvl w:ilvl="0" w:tentative="0">
      <w:start w:val="2"/>
      <w:numFmt w:val="decimal"/>
      <w:suff w:val="nothing"/>
      <w:lvlText w:val="%1、"/>
      <w:lvlJc w:val="left"/>
      <w:pPr>
        <w:ind w:left="3300" w:firstLine="0"/>
      </w:pPr>
    </w:lvl>
  </w:abstractNum>
  <w:abstractNum w:abstractNumId="2">
    <w:nsid w:val="337A21AC"/>
    <w:multiLevelType w:val="singleLevel"/>
    <w:tmpl w:val="337A21AC"/>
    <w:lvl w:ilvl="0" w:tentative="0">
      <w:start w:val="2"/>
      <w:numFmt w:val="decimal"/>
      <w:suff w:val="nothing"/>
      <w:lvlText w:val="%1、"/>
      <w:lvlJc w:val="left"/>
      <w:pPr>
        <w:ind w:left="2880" w:firstLine="0"/>
      </w:pPr>
    </w:lvl>
  </w:abstractNum>
  <w:abstractNum w:abstractNumId="3">
    <w:nsid w:val="7F8030AA"/>
    <w:multiLevelType w:val="singleLevel"/>
    <w:tmpl w:val="7F8030AA"/>
    <w:lvl w:ilvl="0" w:tentative="0">
      <w:start w:val="2"/>
      <w:numFmt w:val="decimal"/>
      <w:suff w:val="nothing"/>
      <w:lvlText w:val="%1、"/>
      <w:lvlJc w:val="left"/>
      <w:pPr>
        <w:ind w:left="3520" w:firstLine="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37B783B"/>
    <w:rsid w:val="05E42E29"/>
    <w:rsid w:val="061E09E3"/>
    <w:rsid w:val="065E1180"/>
    <w:rsid w:val="06A43BA7"/>
    <w:rsid w:val="087A6196"/>
    <w:rsid w:val="08953EE1"/>
    <w:rsid w:val="0C5A5250"/>
    <w:rsid w:val="0C64513E"/>
    <w:rsid w:val="0DE649EC"/>
    <w:rsid w:val="0EE25EB1"/>
    <w:rsid w:val="0FCB20AD"/>
    <w:rsid w:val="10CB3E8D"/>
    <w:rsid w:val="10FD0D60"/>
    <w:rsid w:val="11F35FF2"/>
    <w:rsid w:val="179A58B8"/>
    <w:rsid w:val="1A431867"/>
    <w:rsid w:val="1B4A6025"/>
    <w:rsid w:val="1DF453AF"/>
    <w:rsid w:val="1E107510"/>
    <w:rsid w:val="1E643EFE"/>
    <w:rsid w:val="1FF236A6"/>
    <w:rsid w:val="209E0EC3"/>
    <w:rsid w:val="22140CC1"/>
    <w:rsid w:val="24D63713"/>
    <w:rsid w:val="2A937DAC"/>
    <w:rsid w:val="2CA64EE8"/>
    <w:rsid w:val="2DB60033"/>
    <w:rsid w:val="2DD170D2"/>
    <w:rsid w:val="2F754CA8"/>
    <w:rsid w:val="2FB928F6"/>
    <w:rsid w:val="316F5635"/>
    <w:rsid w:val="341824CB"/>
    <w:rsid w:val="34245EF7"/>
    <w:rsid w:val="343F3937"/>
    <w:rsid w:val="34D53928"/>
    <w:rsid w:val="36870474"/>
    <w:rsid w:val="37015ED3"/>
    <w:rsid w:val="39E01B38"/>
    <w:rsid w:val="3F5C42DA"/>
    <w:rsid w:val="411B3F47"/>
    <w:rsid w:val="43E475B8"/>
    <w:rsid w:val="4477083B"/>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5A62653"/>
    <w:rsid w:val="6871779D"/>
    <w:rsid w:val="68CC07CC"/>
    <w:rsid w:val="6FD93AE0"/>
    <w:rsid w:val="71715484"/>
    <w:rsid w:val="71FC58C7"/>
    <w:rsid w:val="7249546B"/>
    <w:rsid w:val="729F0AAD"/>
    <w:rsid w:val="75F45C0F"/>
    <w:rsid w:val="772C352E"/>
    <w:rsid w:val="77530CCE"/>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心路</cp:lastModifiedBy>
  <cp:lastPrinted>2019-09-11T06:01:00Z</cp:lastPrinted>
  <dcterms:modified xsi:type="dcterms:W3CDTF">2021-06-03T01:37:00Z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