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default" w:ascii="Arial" w:hAnsi="Arial" w:eastAsia="黑体" w:cs="Arial"/>
          <w:sz w:val="44"/>
          <w:szCs w:val="44"/>
          <w:lang w:eastAsia="zh-CN"/>
        </w:rPr>
        <w:t>××</w:t>
      </w:r>
      <w:r>
        <w:rPr>
          <w:rFonts w:hint="eastAsia" w:ascii="黑体" w:hAnsi="黑体" w:eastAsia="黑体" w:cstheme="minorEastAsia"/>
          <w:sz w:val="44"/>
          <w:szCs w:val="44"/>
        </w:rPr>
        <w:t>部门</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numPr>
          <w:ilvl w:val="0"/>
          <w:numId w:val="1"/>
        </w:num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部门主要职能</w:t>
      </w:r>
    </w:p>
    <w:p>
      <w:pPr>
        <w:widowControl/>
        <w:spacing w:line="324" w:lineRule="atLeast"/>
        <w:ind w:left="540"/>
        <w:jc w:val="left"/>
        <w:rPr>
          <w:rFonts w:hint="eastAsia" w:ascii="仿宋" w:hAnsi="仿宋" w:eastAsia="仿宋" w:cs="仿宋_GB2312"/>
          <w:color w:val="auto"/>
          <w:kern w:val="2"/>
          <w:sz w:val="30"/>
          <w:szCs w:val="30"/>
          <w:lang w:val="en-US" w:eastAsia="zh-CN" w:bidi="ar"/>
        </w:rPr>
      </w:pPr>
      <w:bookmarkStart w:id="0" w:name="_GoBack"/>
      <w:r>
        <w:rPr>
          <w:rFonts w:hint="eastAsia" w:ascii="仿宋" w:hAnsi="仿宋" w:eastAsia="仿宋" w:cs="仿宋_GB2312"/>
          <w:color w:val="auto"/>
          <w:kern w:val="2"/>
          <w:sz w:val="30"/>
          <w:szCs w:val="30"/>
          <w:lang w:val="en-US" w:eastAsia="zh-CN" w:bidi="ar"/>
        </w:rPr>
        <w:t>为本县周边适龄学生上学服务，全面实施初中、高中教育，促进基础教育发展</w:t>
      </w:r>
    </w:p>
    <w:p>
      <w:pPr>
        <w:numPr>
          <w:ilvl w:val="0"/>
          <w:numId w:val="1"/>
        </w:numPr>
        <w:ind w:firstLine="643" w:firstLineChars="200"/>
        <w:rPr>
          <w:rFonts w:hint="eastAsia" w:ascii="楷体" w:hAnsi="楷体" w:eastAsia="楷体" w:cstheme="minorEastAsia"/>
          <w:b/>
          <w:bCs w:val="0"/>
          <w:color w:val="auto"/>
          <w:sz w:val="32"/>
          <w:szCs w:val="32"/>
          <w:lang w:val="en-US" w:eastAsia="zh-CN"/>
        </w:rPr>
      </w:pPr>
      <w:r>
        <w:rPr>
          <w:rFonts w:hint="eastAsia" w:ascii="楷体" w:hAnsi="楷体" w:eastAsia="楷体" w:cstheme="minorEastAsia"/>
          <w:b/>
          <w:bCs w:val="0"/>
          <w:color w:val="auto"/>
          <w:sz w:val="32"/>
          <w:szCs w:val="32"/>
          <w:lang w:val="en-US" w:eastAsia="zh-CN"/>
        </w:rPr>
        <w:t>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widowControl/>
        <w:spacing w:line="324" w:lineRule="atLeast"/>
        <w:ind w:left="540"/>
        <w:jc w:val="left"/>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襄垣一中设有：政教处、教研室、教导处、后勤处、办公室、工会综治办财务室</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现有事业编制 400名，其中，，事业编制400 名。实有387 人，其中行政工勤1 人，事业人员 386名。</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襄垣县第一中学校2020年度收入、支出预算总计4915.8  万元，与上年相比收、支预算总计各增加810.56万元，增长20 %。主要原因是人员工资增长。其中：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（一）收入预算总计4915.8 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1．财政拨款收入预算总计4915.8万元。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（1）一般公共预算收入预算4915.8万元，与上年相比增加810.56 万元，增长20 %。主要原因是工资正常增长、等原因。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（二）支出预算总计4915.8  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 0 万元，主要用于……。与上年相比增加（减少）0  万元，增长（减少）0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 0 万元，主要用于……。与上年相比增加（减少）0  万元，增长（减少）0  %。主要原因是……。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  万元，主要原因是……。</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此外，基本支出预算数为4915.8万元。与上年相比增加810.56万元，增长20  %。主要原因是工资正常增长、等原因。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项目支出预算数为0万元。与上年相比增加 </w:t>
      </w:r>
    </w:p>
    <w:p>
      <w:pPr>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    0万元，增长0 %。主要原因是……。</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支出预算数为628.1</w:t>
      </w:r>
      <w:r>
        <w:rPr>
          <w:rFonts w:hint="eastAsia" w:ascii="仿宋_GB2312" w:eastAsia="仿宋_GB2312" w:hAnsiTheme="minorEastAsia" w:cstheme="minorEastAsia"/>
          <w:color w:val="auto"/>
          <w:sz w:val="32"/>
          <w:szCs w:val="32"/>
          <w:lang w:val="en-US" w:eastAsia="zh-CN"/>
        </w:rPr>
        <w:t xml:space="preserve"> 万元，较2019年增加（减少）33.63万元，其中：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支出60</w:t>
      </w:r>
      <w:r>
        <w:rPr>
          <w:rFonts w:hint="eastAsia" w:ascii="仿宋_GB2312" w:eastAsia="仿宋_GB2312" w:hAnsiTheme="minorEastAsia" w:cstheme="minorEastAsia"/>
          <w:color w:val="auto"/>
          <w:sz w:val="32"/>
          <w:szCs w:val="32"/>
          <w:lang w:val="en-US" w:eastAsia="zh-CN"/>
        </w:rPr>
        <w:t xml:space="preserve"> 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支出50</w:t>
      </w:r>
      <w:r>
        <w:rPr>
          <w:rFonts w:hint="eastAsia" w:ascii="仿宋_GB2312" w:eastAsia="仿宋_GB2312" w:hAnsiTheme="minorEastAsia" w:cstheme="minorEastAsia"/>
          <w:color w:val="auto"/>
          <w:sz w:val="32"/>
          <w:szCs w:val="32"/>
          <w:lang w:val="en-US" w:eastAsia="zh-CN"/>
        </w:rPr>
        <w:t xml:space="preserve">  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支出20</w:t>
      </w:r>
      <w:r>
        <w:rPr>
          <w:rFonts w:hint="eastAsia" w:ascii="仿宋_GB2312" w:eastAsia="仿宋_GB2312" w:hAnsiTheme="minorEastAsia" w:cstheme="minorEastAsia"/>
          <w:color w:val="auto"/>
          <w:sz w:val="32"/>
          <w:szCs w:val="32"/>
          <w:lang w:val="en-US" w:eastAsia="zh-CN"/>
        </w:rPr>
        <w:t xml:space="preserve">  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lang w:val="en-US" w:eastAsia="zh-CN"/>
        </w:rPr>
        <w:t>50</w:t>
      </w:r>
      <w:r>
        <w:rPr>
          <w:rFonts w:hint="eastAsia" w:ascii="仿宋_GB2312" w:eastAsia="仿宋_GB2312" w:hAnsiTheme="minorEastAsia" w:cstheme="minorEastAsia"/>
          <w:color w:val="auto"/>
          <w:sz w:val="32"/>
          <w:szCs w:val="32"/>
        </w:rPr>
        <w:t>万元，其中：政府采购货物支出</w:t>
      </w:r>
      <w:r>
        <w:rPr>
          <w:rFonts w:hint="eastAsia" w:ascii="仿宋_GB2312" w:eastAsia="仿宋_GB2312" w:hAnsiTheme="minorEastAsia" w:cstheme="minorEastAsia"/>
          <w:color w:val="auto"/>
          <w:sz w:val="32"/>
          <w:szCs w:val="32"/>
          <w:lang w:val="en-US" w:eastAsia="zh-CN"/>
        </w:rPr>
        <w:t>50</w:t>
      </w:r>
      <w:r>
        <w:rPr>
          <w:rFonts w:hint="eastAsia" w:ascii="仿宋_GB2312" w:eastAsia="仿宋_GB2312" w:hAnsiTheme="minorEastAsia" w:cstheme="minorEastAsia"/>
          <w:color w:val="auto"/>
          <w:sz w:val="32"/>
          <w:szCs w:val="32"/>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pStyle w:val="4"/>
        <w:widowControl/>
        <w:spacing w:before="150" w:beforeAutospacing="0" w:after="150" w:afterAutospacing="0" w:line="465" w:lineRule="atLeast"/>
        <w:ind w:firstLine="555"/>
        <w:jc w:val="both"/>
        <w:rPr>
          <w:rFonts w:ascii="仿宋_GB2312" w:hAnsi="仿宋_GB2312"/>
          <w:color w:val="auto"/>
          <w:sz w:val="32"/>
          <w:szCs w:val="32"/>
        </w:rPr>
      </w:pPr>
      <w:r>
        <w:rPr>
          <w:rFonts w:ascii="仿宋_GB2312" w:hAnsi="仿宋_GB2312"/>
          <w:color w:val="auto"/>
          <w:sz w:val="32"/>
          <w:szCs w:val="32"/>
          <w:shd w:val="clear" w:color="auto" w:fill="FFFFFF"/>
        </w:rPr>
        <w:t xml:space="preserve">截止2019年12月31日，本单位资产总额13225.11 万元，其中流动资产1611.39 万元，固定资产7337.12 万元，在建工程3879.5 万元，无形资产397.1 万元。固定资产当中，房屋构筑物3047.05 万元，汽车0 辆 0万元，单价200万元以上大型设备价值 0万元，其他固定资产4290.07 万元。 </w:t>
      </w:r>
    </w:p>
    <w:p>
      <w:pPr>
        <w:pStyle w:val="4"/>
        <w:widowControl/>
        <w:spacing w:before="150" w:beforeAutospacing="0" w:after="150" w:afterAutospacing="0" w:line="465" w:lineRule="atLeast"/>
        <w:ind w:firstLine="555"/>
        <w:jc w:val="both"/>
        <w:rPr>
          <w:rFonts w:ascii="仿宋_GB2312" w:hAnsi="仿宋_GB2312"/>
          <w:color w:val="auto"/>
          <w:sz w:val="32"/>
          <w:szCs w:val="32"/>
          <w:shd w:val="clear" w:color="auto" w:fill="FFFFFF"/>
        </w:rPr>
      </w:pPr>
      <w:r>
        <w:rPr>
          <w:rFonts w:ascii="仿宋_GB2312" w:hAnsi="仿宋_GB2312"/>
          <w:color w:val="auto"/>
          <w:sz w:val="32"/>
          <w:szCs w:val="32"/>
          <w:shd w:val="clear" w:color="auto" w:fill="FFFFFF"/>
        </w:rPr>
        <w:t xml:space="preserve">与上年相比，本年资产总额减少7007.45 万元。 </w:t>
      </w:r>
    </w:p>
    <w:p>
      <w:pPr>
        <w:pStyle w:val="4"/>
        <w:widowControl/>
        <w:spacing w:before="150" w:beforeAutospacing="0" w:after="150" w:afterAutospacing="0" w:line="465" w:lineRule="atLeast"/>
        <w:ind w:firstLine="555"/>
        <w:jc w:val="both"/>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我单位本年度项目支出1081.2万元，其中：重点项目支出222万元，该项目为标准化考点建设，工程已竣工。现已支付150万元，剩余工程欠款72万元。</w:t>
      </w:r>
    </w:p>
    <w:p>
      <w:pPr>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 xml:space="preserve"> 2</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val="en-US" w:eastAsia="zh-CN"/>
        </w:rPr>
        <w:t xml:space="preserve">增加2 </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增长200</w:t>
      </w:r>
      <w:r>
        <w:rPr>
          <w:rFonts w:hint="eastAsia" w:ascii="仿宋_GB2312" w:eastAsia="仿宋_GB2312" w:hAnsiTheme="minorEastAsia" w:cstheme="minorEastAsia"/>
          <w:color w:val="auto"/>
          <w:sz w:val="32"/>
          <w:szCs w:val="32"/>
        </w:rPr>
        <w:t>%，其中：</w:t>
      </w:r>
    </w:p>
    <w:p>
      <w:pPr>
        <w:numPr>
          <w:ilvl w:val="0"/>
          <w:numId w:val="2"/>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 xml:space="preserve"> 0 </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 0 </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 xml:space="preserve"> 批次 ，共  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w:t>
      </w:r>
      <w:r>
        <w:rPr>
          <w:rFonts w:hint="eastAsia" w:ascii="仿宋_GB2312" w:eastAsia="仿宋_GB2312" w:hAnsiTheme="minorEastAsia" w:cstheme="minorEastAsia"/>
          <w:color w:val="auto"/>
          <w:sz w:val="32"/>
          <w:szCs w:val="32"/>
          <w:lang w:val="en-US" w:eastAsia="zh-CN"/>
        </w:rPr>
        <w:t>2</w:t>
      </w:r>
      <w:r>
        <w:rPr>
          <w:rFonts w:hint="eastAsia" w:ascii="仿宋_GB2312" w:eastAsia="仿宋_GB2312" w:hAnsiTheme="minorEastAsia" w:cstheme="minorEastAsia"/>
          <w:color w:val="auto"/>
          <w:sz w:val="32"/>
          <w:szCs w:val="32"/>
        </w:rPr>
        <w:t>万元，其中公务用车购置年初预算数为0万元，较</w:t>
      </w:r>
      <w:r>
        <w:rPr>
          <w:rFonts w:hint="eastAsia" w:ascii="仿宋_GB2312" w:eastAsia="仿宋_GB2312" w:hAnsiTheme="minorEastAsia" w:cstheme="minorEastAsia"/>
          <w:color w:val="auto"/>
          <w:sz w:val="32"/>
          <w:szCs w:val="32"/>
          <w:lang w:val="en-US" w:eastAsia="zh-CN"/>
        </w:rPr>
        <w:t>2019</w:t>
      </w:r>
      <w:r>
        <w:rPr>
          <w:rFonts w:hint="eastAsia" w:ascii="仿宋_GB2312" w:eastAsia="仿宋_GB2312" w:hAnsiTheme="minorEastAsia" w:cstheme="minorEastAsia"/>
          <w:color w:val="auto"/>
          <w:sz w:val="32"/>
          <w:szCs w:val="32"/>
        </w:rPr>
        <w:t>年增加（减少）0万元，增长（下降）0%；公务用车运行维护费支出年初预算数为</w:t>
      </w:r>
      <w:r>
        <w:rPr>
          <w:rFonts w:hint="eastAsia" w:ascii="仿宋_GB2312" w:eastAsia="仿宋_GB2312" w:hAnsiTheme="minorEastAsia" w:cstheme="minorEastAsia"/>
          <w:color w:val="auto"/>
          <w:sz w:val="32"/>
          <w:szCs w:val="32"/>
          <w:lang w:val="en-US" w:eastAsia="zh-CN"/>
        </w:rPr>
        <w:t>2</w:t>
      </w:r>
      <w:r>
        <w:rPr>
          <w:rFonts w:hint="eastAsia" w:ascii="仿宋_GB2312" w:eastAsia="仿宋_GB2312" w:hAnsiTheme="minorEastAsia" w:cstheme="minorEastAsia"/>
          <w:color w:val="auto"/>
          <w:sz w:val="32"/>
          <w:szCs w:val="32"/>
        </w:rPr>
        <w:t>万元，较</w:t>
      </w:r>
      <w:r>
        <w:rPr>
          <w:rFonts w:hint="eastAsia" w:ascii="仿宋_GB2312" w:eastAsia="仿宋_GB2312" w:hAnsiTheme="minorEastAsia" w:cstheme="minorEastAsia"/>
          <w:color w:val="auto"/>
          <w:sz w:val="32"/>
          <w:szCs w:val="32"/>
          <w:lang w:val="en-US" w:eastAsia="zh-CN"/>
        </w:rPr>
        <w:t>2019</w:t>
      </w:r>
      <w:r>
        <w:rPr>
          <w:rFonts w:hint="eastAsia" w:ascii="仿宋_GB2312" w:eastAsia="仿宋_GB2312" w:hAnsiTheme="minorEastAsia" w:cstheme="minorEastAsia"/>
          <w:color w:val="auto"/>
          <w:sz w:val="32"/>
          <w:szCs w:val="32"/>
        </w:rPr>
        <w:t>年增加（减少）</w:t>
      </w:r>
      <w:r>
        <w:rPr>
          <w:rFonts w:hint="eastAsia" w:ascii="仿宋_GB2312" w:eastAsia="仿宋_GB2312" w:hAnsiTheme="minorEastAsia" w:cstheme="minorEastAsia"/>
          <w:color w:val="auto"/>
          <w:sz w:val="32"/>
          <w:szCs w:val="32"/>
          <w:lang w:val="en-US" w:eastAsia="zh-CN"/>
        </w:rPr>
        <w:t>2</w:t>
      </w:r>
      <w:r>
        <w:rPr>
          <w:rFonts w:hint="eastAsia" w:ascii="仿宋_GB2312" w:eastAsia="仿宋_GB2312" w:hAnsiTheme="minorEastAsia" w:cstheme="minorEastAsia"/>
          <w:color w:val="auto"/>
          <w:sz w:val="32"/>
          <w:szCs w:val="32"/>
        </w:rPr>
        <w:t>万元，增长（下降）</w:t>
      </w:r>
      <w:r>
        <w:rPr>
          <w:rFonts w:hint="eastAsia" w:ascii="仿宋_GB2312" w:eastAsia="仿宋_GB2312" w:hAnsiTheme="minorEastAsia" w:cstheme="minorEastAsia"/>
          <w:color w:val="auto"/>
          <w:sz w:val="32"/>
          <w:szCs w:val="32"/>
          <w:lang w:val="en-US" w:eastAsia="zh-CN"/>
        </w:rPr>
        <w:t>200</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val="en-US" w:eastAsia="zh-CN"/>
        </w:rPr>
        <w:t>襄垣县第一中学校单位</w:t>
      </w:r>
      <w:r>
        <w:rPr>
          <w:rFonts w:hint="eastAsia" w:ascii="仿宋_GB2312" w:eastAsia="仿宋_GB2312" w:hAnsiTheme="minorEastAsia" w:cstheme="minorEastAsia"/>
          <w:color w:val="auto"/>
          <w:sz w:val="32"/>
          <w:szCs w:val="32"/>
        </w:rPr>
        <w:t>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年政府性基金支出预算</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（或者：本单位本年度无此项预算，故无此项说明）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bookmarkEnd w:id="0"/>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8B0FF6"/>
    <w:multiLevelType w:val="singleLevel"/>
    <w:tmpl w:val="E48B0FF6"/>
    <w:lvl w:ilvl="0" w:tentative="0">
      <w:start w:val="1"/>
      <w:numFmt w:val="chineseCounting"/>
      <w:suff w:val="nothing"/>
      <w:lvlText w:val="%1、"/>
      <w:lvlJc w:val="left"/>
      <w:rPr>
        <w:rFonts w:hint="eastAsia"/>
      </w:rPr>
    </w:lvl>
  </w:abstractNum>
  <w:abstractNum w:abstractNumId="1">
    <w:nsid w:val="FF867C84"/>
    <w:multiLevelType w:val="singleLevel"/>
    <w:tmpl w:val="FF867C8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4258B"/>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0470D1"/>
    <w:rsid w:val="0C5A5250"/>
    <w:rsid w:val="0C64513E"/>
    <w:rsid w:val="0DE649EC"/>
    <w:rsid w:val="0EE25EB1"/>
    <w:rsid w:val="0FAF136A"/>
    <w:rsid w:val="10CB3E8D"/>
    <w:rsid w:val="11F35FF2"/>
    <w:rsid w:val="179A58B8"/>
    <w:rsid w:val="1B4A6025"/>
    <w:rsid w:val="1DF453AF"/>
    <w:rsid w:val="1E107510"/>
    <w:rsid w:val="1E643EFE"/>
    <w:rsid w:val="209E0EC3"/>
    <w:rsid w:val="22140CC1"/>
    <w:rsid w:val="23283E58"/>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6AD0BFD"/>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5</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2021-06-05T11:26:59Z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