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黑体" w:hAnsi="黑体" w:eastAsia="黑体" w:cstheme="minorEastAsia"/>
          <w:sz w:val="44"/>
          <w:szCs w:val="44"/>
        </w:rPr>
      </w:pPr>
      <w:r>
        <w:rPr>
          <w:rFonts w:hint="eastAsia" w:ascii="黑体" w:hAnsi="黑体" w:eastAsia="黑体" w:cstheme="minorEastAsia"/>
          <w:sz w:val="44"/>
          <w:szCs w:val="44"/>
          <w:lang w:eastAsia="zh-CN"/>
        </w:rPr>
        <w:t>襄垣</w:t>
      </w:r>
      <w:r>
        <w:rPr>
          <w:rFonts w:hint="eastAsia" w:ascii="黑体" w:hAnsi="黑体" w:eastAsia="黑体" w:cstheme="minorEastAsia"/>
          <w:sz w:val="44"/>
          <w:szCs w:val="44"/>
        </w:rPr>
        <w:t>县</w:t>
      </w:r>
      <w:r>
        <w:rPr>
          <w:rFonts w:hint="eastAsia" w:ascii="Arial" w:hAnsi="Arial" w:eastAsia="黑体" w:cs="Arial"/>
          <w:sz w:val="44"/>
          <w:szCs w:val="44"/>
          <w:lang w:eastAsia="zh-CN"/>
        </w:rPr>
        <w:t>第二中学校</w:t>
      </w:r>
    </w:p>
    <w:p>
      <w:pPr>
        <w:jc w:val="center"/>
        <w:rPr>
          <w:rFonts w:ascii="黑体" w:hAnsi="黑体" w:eastAsia="黑体" w:cstheme="minorEastAsia"/>
          <w:sz w:val="44"/>
          <w:szCs w:val="44"/>
        </w:rPr>
      </w:pP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hint="eastAsia" w:ascii="楷体" w:hAnsi="楷体" w:eastAsia="楷体" w:cstheme="minorEastAsia"/>
          <w:b/>
          <w:bCs w:val="0"/>
          <w:sz w:val="32"/>
          <w:szCs w:val="32"/>
        </w:rPr>
      </w:pPr>
      <w:r>
        <w:rPr>
          <w:rFonts w:hint="eastAsia" w:ascii="楷体" w:hAnsi="楷体" w:eastAsia="楷体" w:cstheme="minorEastAsia"/>
          <w:b/>
          <w:bCs w:val="0"/>
          <w:sz w:val="32"/>
          <w:szCs w:val="32"/>
        </w:rPr>
        <w:t>一、部门主要职能</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具体职能:实施初中义务教育，促进基础教育发展。</w:t>
      </w:r>
    </w:p>
    <w:p>
      <w:pPr>
        <w:ind w:firstLine="643" w:firstLineChars="200"/>
        <w:rPr>
          <w:rFonts w:ascii="楷体" w:hAnsi="楷体" w:eastAsia="楷体" w:cstheme="minorEastAsia"/>
          <w:b/>
          <w:bCs w:val="0"/>
          <w:sz w:val="32"/>
          <w:szCs w:val="32"/>
        </w:rPr>
      </w:pPr>
      <w:r>
        <w:rPr>
          <w:rFonts w:hint="eastAsia" w:ascii="楷体" w:hAnsi="楷体" w:eastAsia="楷体" w:cstheme="minorEastAsia"/>
          <w:b/>
          <w:bCs w:val="0"/>
          <w:sz w:val="32"/>
          <w:szCs w:val="32"/>
        </w:rPr>
        <w:t>二、部基本情况</w:t>
      </w:r>
    </w:p>
    <w:p>
      <w:pPr>
        <w:widowControl/>
        <w:spacing w:line="324" w:lineRule="atLeast"/>
        <w:ind w:left="540"/>
        <w:jc w:val="left"/>
        <w:rPr>
          <w:rFonts w:hint="eastAsia" w:ascii="仿宋_GB2312" w:hAnsi="楷体" w:eastAsia="仿宋_GB2312" w:cs="宋体"/>
          <w:b w:val="0"/>
          <w:bCs/>
          <w:color w:val="333333"/>
          <w:kern w:val="0"/>
          <w:sz w:val="18"/>
          <w:szCs w:val="18"/>
          <w:lang w:eastAsia="zh-CN"/>
        </w:rPr>
      </w:pPr>
      <w:r>
        <w:rPr>
          <w:rFonts w:hint="eastAsia" w:ascii="仿宋_GB2312" w:hAnsi="楷体" w:eastAsia="仿宋_GB2312" w:cs="宋体"/>
          <w:b w:val="0"/>
          <w:bCs/>
          <w:color w:val="333333"/>
          <w:kern w:val="0"/>
          <w:sz w:val="32"/>
          <w:szCs w:val="32"/>
        </w:rPr>
        <w:t>（一）</w:t>
      </w:r>
      <w:r>
        <w:rPr>
          <w:rFonts w:hint="eastAsia" w:ascii="仿宋_GB2312" w:hAnsi="楷体" w:eastAsia="仿宋_GB2312" w:cs="宋体"/>
          <w:b w:val="0"/>
          <w:bCs/>
          <w:color w:val="333333"/>
          <w:kern w:val="0"/>
          <w:sz w:val="32"/>
          <w:szCs w:val="32"/>
          <w:lang w:eastAsia="zh-CN"/>
        </w:rPr>
        <w:t>机构设置情况</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 xml:space="preserve">襄垣县第二中学校内设 13个职能股室、中心，职能股室、中心分别为：办公室、教研室、政教处、教导处、工会、安全办、团委、财务室、图书馆、后勤中心、电教中心等。 </w:t>
      </w:r>
    </w:p>
    <w:p>
      <w:pPr>
        <w:widowControl/>
        <w:spacing w:line="324" w:lineRule="atLeast"/>
        <w:ind w:left="540"/>
        <w:jc w:val="left"/>
        <w:rPr>
          <w:rFonts w:ascii="仿宋_GB2312" w:hAnsi="楷体" w:eastAsia="仿宋_GB2312" w:cs="宋体"/>
          <w:b w:val="0"/>
          <w:bCs/>
          <w:color w:val="auto"/>
          <w:kern w:val="0"/>
          <w:sz w:val="32"/>
          <w:szCs w:val="32"/>
        </w:rPr>
      </w:pPr>
      <w:r>
        <w:rPr>
          <w:rFonts w:hint="eastAsia" w:ascii="仿宋_GB2312" w:hAnsi="楷体" w:eastAsia="仿宋_GB2312" w:cs="宋体"/>
          <w:b w:val="0"/>
          <w:bCs/>
          <w:color w:val="auto"/>
          <w:kern w:val="0"/>
          <w:sz w:val="32"/>
          <w:szCs w:val="32"/>
        </w:rPr>
        <w:t>（二）人员情况说明</w:t>
      </w:r>
    </w:p>
    <w:p>
      <w:pPr>
        <w:ind w:firstLine="645"/>
        <w:rPr>
          <w:rFonts w:hint="eastAsia" w:ascii="仿宋_GB2312" w:hAnsi="仿宋" w:eastAsia="仿宋_GB2312" w:cstheme="minorEastAsia"/>
          <w:color w:val="auto"/>
          <w:sz w:val="32"/>
          <w:szCs w:val="32"/>
        </w:rPr>
      </w:pPr>
      <w:r>
        <w:rPr>
          <w:rFonts w:hint="eastAsia" w:ascii="仿宋" w:hAnsi="仿宋" w:eastAsia="仿宋" w:cs="仿宋_GB2312"/>
          <w:color w:val="auto"/>
          <w:kern w:val="2"/>
          <w:sz w:val="32"/>
          <w:szCs w:val="32"/>
          <w:lang w:val="en-US" w:eastAsia="zh-CN" w:bidi="ar"/>
        </w:rPr>
        <w:t>现有事业编制153 名，实有 153人,其中行政工勤 1人。</w:t>
      </w:r>
    </w:p>
    <w:p>
      <w:pPr>
        <w:ind w:firstLine="643" w:firstLineChars="200"/>
        <w:rPr>
          <w:rFonts w:hint="eastAsia" w:ascii="楷体" w:hAnsi="楷体" w:eastAsia="楷体" w:cstheme="minorEastAsia"/>
          <w:b/>
          <w:bCs w:val="0"/>
          <w:sz w:val="32"/>
          <w:szCs w:val="32"/>
          <w:lang w:eastAsia="zh-CN"/>
        </w:rPr>
      </w:pPr>
      <w:bookmarkStart w:id="0" w:name="_GoBack"/>
      <w:r>
        <w:rPr>
          <w:rFonts w:hint="eastAsia" w:ascii="楷体" w:hAnsi="楷体" w:eastAsia="楷体" w:cstheme="minorEastAsia"/>
          <w:b/>
          <w:bCs w:val="0"/>
          <w:sz w:val="32"/>
          <w:szCs w:val="32"/>
          <w:lang w:eastAsia="zh-CN"/>
        </w:rPr>
        <w:t>三、预算收支增减变化情况说明</w:t>
      </w:r>
    </w:p>
    <w:bookmarkEnd w:id="0"/>
    <w:p>
      <w:pPr>
        <w:ind w:firstLine="640" w:firstLineChars="200"/>
        <w:rPr>
          <w:rFonts w:hint="eastAsia" w:ascii="仿宋_GB2312" w:hAnsi="仿宋" w:eastAsia="仿宋_GB2312" w:cs="仿宋"/>
          <w:color w:val="auto"/>
          <w:sz w:val="32"/>
          <w:szCs w:val="32"/>
        </w:rPr>
      </w:pPr>
      <w:r>
        <w:rPr>
          <w:rFonts w:hint="eastAsia" w:ascii="仿宋" w:hAnsi="仿宋" w:eastAsia="仿宋" w:cs="仿宋_GB2312"/>
          <w:color w:val="auto"/>
          <w:kern w:val="2"/>
          <w:sz w:val="32"/>
          <w:szCs w:val="32"/>
          <w:lang w:val="en-US" w:eastAsia="zh-CN" w:bidi="ar"/>
        </w:rPr>
        <w:t>襄垣县第二种学校2020年度收入、支出预算总计1886.40  万元，与上年相比收、支预算总计各增加 353.62万元，增长21.77 %。主要原因是教师人数增加，工资正常增长等原因</w:t>
      </w:r>
    </w:p>
    <w:p>
      <w:pPr>
        <w:ind w:firstLine="640" w:firstLineChars="200"/>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其中：</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（一）收入预算总计 1886.40   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1．财政拨款收入预算总计 1886.40   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（1）一般公共预算收入预算 1886.40万元，与上年相比增加 353.61万元，增长21.77  %。主要原因是工资正常增长、教师数增加等原因。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（2）政府性基金收入预算无。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2．财政专户管理资金收入预算总计无。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3．其他资金收入预算总计无。</w:t>
      </w:r>
    </w:p>
    <w:p>
      <w:pPr>
        <w:ind w:firstLine="640" w:firstLineChars="200"/>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4．上年结转资金预算数为 14.78万元。与上年相比增加9.93万元，增长 67.19 0%。主要原因是</w:t>
      </w:r>
      <w:r>
        <w:rPr>
          <w:rFonts w:hint="eastAsia" w:ascii="仿宋_GB2312" w:hAnsi="仿宋" w:eastAsia="仿宋_GB2312" w:cs="仿宋"/>
          <w:color w:val="auto"/>
          <w:sz w:val="32"/>
          <w:szCs w:val="32"/>
        </w:rPr>
        <w:t>严格按照省市县接待标准，中央“八项规定”勤俭节约。</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（二）支出预算总计 1886.40 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1．一般公共服务（类）支出 1433.24 万元，主要用于教育教学日常办公，人员经费、社会保障等。与上年相比增加 398.71 万元，增长 26.33 %。主要原因是教师分数增加。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2．公共安全（类）支出无</w:t>
      </w:r>
    </w:p>
    <w:p>
      <w:pPr>
        <w:ind w:firstLine="640" w:firstLineChars="200"/>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3．结转下年资金预算数为  24.71万元，主要原因是</w:t>
      </w:r>
      <w:r>
        <w:rPr>
          <w:rFonts w:hint="eastAsia" w:ascii="仿宋_GB2312" w:hAnsi="仿宋" w:eastAsia="仿宋_GB2312" w:cs="仿宋"/>
          <w:color w:val="auto"/>
          <w:sz w:val="32"/>
          <w:szCs w:val="32"/>
        </w:rPr>
        <w:t>严格按照省市县接待标准，中央“八项规定”勤俭节约。</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此外，基本支出预算数为 1886.40 万元。与上年相比增加 353.61万元，增长 21.77 %。主要原因是教师分数增加。</w:t>
      </w:r>
    </w:p>
    <w:p>
      <w:pPr>
        <w:ind w:firstLine="640" w:firstLineChars="200"/>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项目支出预算数为无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单位预留机动经费预算数为无</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四</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机关运行经费安排情况说明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eastAsia="zh-CN"/>
        </w:rPr>
        <w:t>襄垣县第二中学校</w:t>
      </w:r>
      <w:r>
        <w:rPr>
          <w:rFonts w:hint="eastAsia" w:ascii="仿宋_GB2312" w:eastAsia="仿宋_GB2312" w:hAnsiTheme="minorEastAsia" w:cstheme="minorEastAsia"/>
          <w:color w:val="auto"/>
          <w:sz w:val="32"/>
          <w:szCs w:val="32"/>
        </w:rPr>
        <w:t>运行经费</w:t>
      </w:r>
      <w:r>
        <w:rPr>
          <w:rFonts w:hint="eastAsia" w:ascii="仿宋_GB2312" w:eastAsia="仿宋_GB2312" w:hAnsiTheme="minorEastAsia" w:cstheme="minorEastAsia"/>
          <w:color w:val="auto"/>
          <w:sz w:val="32"/>
          <w:szCs w:val="32"/>
          <w:lang w:eastAsia="zh-CN"/>
        </w:rPr>
        <w:t>支出预算数为</w:t>
      </w:r>
      <w:r>
        <w:rPr>
          <w:rFonts w:hint="eastAsia" w:ascii="仿宋_GB2312" w:eastAsia="仿宋_GB2312" w:hAnsiTheme="minorEastAsia" w:cstheme="minorEastAsia"/>
          <w:color w:val="auto"/>
          <w:sz w:val="32"/>
          <w:szCs w:val="32"/>
          <w:lang w:val="en-US" w:eastAsia="zh-CN"/>
        </w:rPr>
        <w:t>263.80万元，较2019年</w:t>
      </w:r>
      <w:r>
        <w:rPr>
          <w:rFonts w:hint="eastAsia" w:ascii="仿宋" w:hAnsi="仿宋" w:eastAsia="仿宋" w:cs="仿宋_GB2312"/>
          <w:color w:val="auto"/>
          <w:kern w:val="2"/>
          <w:sz w:val="32"/>
          <w:szCs w:val="32"/>
          <w:lang w:val="en-US" w:eastAsia="zh-CN" w:bidi="ar"/>
        </w:rPr>
        <w:t>增长2.95</w:t>
      </w:r>
      <w:r>
        <w:rPr>
          <w:rFonts w:hint="eastAsia" w:ascii="仿宋_GB2312" w:eastAsia="仿宋_GB2312" w:hAnsiTheme="minorEastAsia" w:cstheme="minorEastAsia"/>
          <w:color w:val="auto"/>
          <w:sz w:val="32"/>
          <w:szCs w:val="32"/>
          <w:lang w:val="en-US" w:eastAsia="zh-CN"/>
        </w:rPr>
        <w:t xml:space="preserve"> 万元，其中：</w:t>
      </w:r>
      <w:r>
        <w:rPr>
          <w:rFonts w:hint="eastAsia" w:ascii="仿宋_GB2312" w:eastAsia="仿宋_GB2312" w:hAnsiTheme="minorEastAsia" w:cstheme="minorEastAsia"/>
          <w:color w:val="auto"/>
          <w:sz w:val="32"/>
          <w:szCs w:val="32"/>
        </w:rPr>
        <w:t>办公费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20万元</w:t>
      </w:r>
      <w:r>
        <w:rPr>
          <w:rFonts w:hint="eastAsia" w:ascii="仿宋_GB2312" w:eastAsia="仿宋_GB2312" w:hAnsiTheme="minorEastAsia" w:cstheme="minorEastAsia"/>
          <w:color w:val="auto"/>
          <w:sz w:val="32"/>
          <w:szCs w:val="32"/>
        </w:rPr>
        <w:t>、印刷费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 xml:space="preserve"> 3万元</w:t>
      </w:r>
      <w:r>
        <w:rPr>
          <w:rFonts w:hint="eastAsia" w:ascii="仿宋_GB2312" w:eastAsia="仿宋_GB2312" w:hAnsiTheme="minorEastAsia" w:cstheme="minorEastAsia"/>
          <w:color w:val="auto"/>
          <w:sz w:val="32"/>
          <w:szCs w:val="32"/>
        </w:rPr>
        <w:t>、差旅费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 xml:space="preserve"> 1万元</w:t>
      </w:r>
      <w:r>
        <w:rPr>
          <w:rFonts w:hint="eastAsia" w:ascii="仿宋_GB2312" w:eastAsia="仿宋_GB2312" w:hAnsiTheme="minorEastAsia" w:cstheme="minorEastAsia"/>
          <w:color w:val="auto"/>
          <w:sz w:val="32"/>
          <w:szCs w:val="32"/>
        </w:rPr>
        <w:t>等。</w:t>
      </w:r>
      <w:r>
        <w:rPr>
          <w:rFonts w:hint="eastAsia" w:ascii="仿宋_GB2312" w:eastAsia="仿宋_GB2312" w:hAnsiTheme="minorEastAsia" w:cstheme="minorEastAsia"/>
          <w:color w:val="auto"/>
          <w:sz w:val="32"/>
          <w:szCs w:val="32"/>
          <w:lang w:eastAsia="zh-CN"/>
        </w:rPr>
        <w:t>主要增减变化情况：学生数比上年增加</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五、政府采购</w:t>
      </w:r>
      <w:r>
        <w:rPr>
          <w:rFonts w:hint="eastAsia" w:ascii="楷体" w:hAnsi="楷体" w:eastAsia="楷体" w:cstheme="minorEastAsia"/>
          <w:b w:val="0"/>
          <w:bCs/>
          <w:color w:val="auto"/>
          <w:sz w:val="32"/>
          <w:szCs w:val="32"/>
          <w:lang w:eastAsia="zh-CN"/>
        </w:rPr>
        <w:t>安排情况说明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eastAsia="zh-CN"/>
        </w:rPr>
        <w:t>襄垣县第二中学校20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lang w:eastAsia="zh-CN"/>
        </w:rPr>
        <w:t>年度政府采购安排无</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六</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对专业性较强的名词进行解释</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（一）</w:t>
      </w:r>
      <w:r>
        <w:rPr>
          <w:rFonts w:hint="eastAsia" w:ascii="仿宋_GB2312" w:eastAsia="仿宋_GB2312" w:hAnsiTheme="minorEastAsia" w:cstheme="minorEastAsia"/>
          <w:color w:val="auto"/>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（二）</w:t>
      </w:r>
      <w:r>
        <w:rPr>
          <w:rFonts w:hint="eastAsia" w:ascii="仿宋_GB2312" w:eastAsia="仿宋_GB2312" w:hAnsiTheme="minorEastAsia" w:cstheme="minorEastAsia"/>
          <w:color w:val="auto"/>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（三）</w:t>
      </w:r>
      <w:r>
        <w:rPr>
          <w:rFonts w:hint="eastAsia" w:ascii="仿宋_GB2312" w:eastAsia="仿宋_GB2312" w:hAnsiTheme="minorEastAsia" w:cstheme="minorEastAsia"/>
          <w:color w:val="auto"/>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（四）</w:t>
      </w:r>
      <w:r>
        <w:rPr>
          <w:rFonts w:hint="eastAsia" w:ascii="仿宋_GB2312" w:eastAsia="仿宋_GB2312" w:hAnsiTheme="minorEastAsia" w:cstheme="minorEastAsia"/>
          <w:color w:val="auto"/>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仿宋_GB2312" w:eastAsia="仿宋_GB2312" w:hAnsiTheme="minorEastAsia" w:cstheme="minorEastAsia"/>
          <w:color w:val="auto"/>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（六）</w:t>
      </w:r>
      <w:r>
        <w:rPr>
          <w:rFonts w:hint="eastAsia" w:ascii="仿宋_GB2312" w:eastAsia="仿宋_GB2312" w:hAnsiTheme="minorEastAsia" w:cstheme="minorEastAsia"/>
          <w:color w:val="auto"/>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（七）</w:t>
      </w:r>
      <w:r>
        <w:rPr>
          <w:rFonts w:hint="eastAsia" w:ascii="仿宋_GB2312" w:eastAsia="仿宋_GB2312" w:hAnsiTheme="minorEastAsia" w:cstheme="minorEastAsia"/>
          <w:color w:val="auto"/>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（八）</w:t>
      </w:r>
      <w:r>
        <w:rPr>
          <w:rFonts w:hint="eastAsia" w:ascii="仿宋_GB2312" w:eastAsia="仿宋_GB2312" w:hAnsiTheme="minorEastAsia" w:cstheme="minorEastAsia"/>
          <w:color w:val="auto"/>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（九）</w:t>
      </w:r>
      <w:r>
        <w:rPr>
          <w:rFonts w:hint="eastAsia" w:ascii="仿宋_GB2312" w:eastAsia="仿宋_GB2312" w:hAnsiTheme="minorEastAsia" w:cstheme="minorEastAsia"/>
          <w:color w:val="auto"/>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（十）</w:t>
      </w:r>
      <w:r>
        <w:rPr>
          <w:rFonts w:hint="eastAsia" w:ascii="仿宋_GB2312" w:eastAsia="仿宋_GB2312" w:hAnsiTheme="minorEastAsia" w:cstheme="minorEastAsia"/>
          <w:color w:val="auto"/>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十一</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十二</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十三</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十四</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十五</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十六</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十七</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eastAsia="zh-CN"/>
        </w:rPr>
        <w:t>七、国有</w:t>
      </w:r>
      <w:r>
        <w:rPr>
          <w:rFonts w:hint="eastAsia" w:ascii="楷体" w:hAnsi="楷体" w:eastAsia="楷体" w:cstheme="minorEastAsia"/>
          <w:b w:val="0"/>
          <w:bCs/>
          <w:color w:val="auto"/>
          <w:sz w:val="32"/>
          <w:szCs w:val="32"/>
          <w:lang w:val="en-US" w:eastAsia="zh-CN"/>
        </w:rPr>
        <w:t>资产占用情况说明</w:t>
      </w:r>
    </w:p>
    <w:p>
      <w:pPr>
        <w:ind w:firstLine="640" w:firstLineChars="200"/>
        <w:rPr>
          <w:rFonts w:hint="eastAsia" w:ascii="楷体" w:hAnsi="楷体" w:eastAsia="楷体" w:cstheme="minorEastAsia"/>
          <w:b w:val="0"/>
          <w:bCs/>
          <w:color w:val="auto"/>
          <w:sz w:val="32"/>
          <w:szCs w:val="32"/>
          <w:lang w:val="en-US" w:eastAsia="zh-CN"/>
        </w:rPr>
      </w:pP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val="en-US" w:eastAsia="zh-CN"/>
        </w:rPr>
        <w:t>八、重点项目预算的绩效目标等预算绩效情况说明</w:t>
      </w:r>
    </w:p>
    <w:p>
      <w:pPr>
        <w:ind w:firstLine="640" w:firstLineChars="200"/>
        <w:rPr>
          <w:rFonts w:hint="default" w:ascii="楷体" w:hAnsi="楷体" w:eastAsia="楷体" w:cstheme="minorEastAsia"/>
          <w:b w:val="0"/>
          <w:bCs/>
          <w:color w:val="auto"/>
          <w:sz w:val="32"/>
          <w:szCs w:val="32"/>
          <w:lang w:val="en-US" w:eastAsia="zh-CN"/>
        </w:rPr>
      </w:pP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val="en-US" w:eastAsia="zh-CN"/>
        </w:rPr>
        <w:t>九、</w:t>
      </w:r>
      <w:r>
        <w:rPr>
          <w:rFonts w:hint="eastAsia" w:ascii="楷体" w:hAnsi="楷体" w:eastAsia="楷体" w:cstheme="minorEastAsia"/>
          <w:b w:val="0"/>
          <w:bCs/>
          <w:color w:val="auto"/>
          <w:sz w:val="32"/>
          <w:szCs w:val="32"/>
        </w:rPr>
        <w:t>一般公共预算“三公”经费支出</w:t>
      </w:r>
      <w:r>
        <w:rPr>
          <w:rFonts w:hint="eastAsia" w:ascii="楷体" w:hAnsi="楷体" w:eastAsia="楷体" w:cstheme="minorEastAsia"/>
          <w:b w:val="0"/>
          <w:bCs/>
          <w:color w:val="auto"/>
          <w:sz w:val="32"/>
          <w:szCs w:val="32"/>
          <w:lang w:eastAsia="zh-CN"/>
        </w:rPr>
        <w:t>增减变化原因等说明</w:t>
      </w:r>
    </w:p>
    <w:p>
      <w:pPr>
        <w:ind w:firstLine="640" w:firstLineChars="200"/>
        <w:rPr>
          <w:rFonts w:hint="eastAsia"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lang w:eastAsia="zh-CN"/>
        </w:rPr>
        <w:t>襄垣县第二中学校</w:t>
      </w:r>
      <w:r>
        <w:rPr>
          <w:rFonts w:hint="eastAsia" w:ascii="仿宋_GB2312" w:eastAsia="仿宋_GB2312" w:hAnsiTheme="minorEastAsia" w:cstheme="minorEastAsia"/>
          <w:color w:val="auto"/>
          <w:sz w:val="32"/>
          <w:szCs w:val="32"/>
        </w:rPr>
        <w:t>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年度一般公共预算“三公”经费预算数为</w:t>
      </w:r>
      <w:r>
        <w:rPr>
          <w:rFonts w:hint="eastAsia" w:ascii="仿宋_GB2312" w:eastAsia="仿宋_GB2312" w:hAnsiTheme="minorEastAsia" w:cstheme="minorEastAsia"/>
          <w:color w:val="auto"/>
          <w:sz w:val="32"/>
          <w:szCs w:val="32"/>
          <w:lang w:eastAsia="zh-CN"/>
        </w:rPr>
        <w:t>无</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十、政府性基金预算支出预算情况说明</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（反映部门年度政府性基金支出预算安排情况。政府性基金支出安排数应与《部门收支预算总表》的政府性基金收入数一致，并按照政府收支分类科目的功能分类“项”级细化列示。）</w:t>
      </w:r>
    </w:p>
    <w:p>
      <w:pPr>
        <w:ind w:firstLine="640" w:firstLineChars="200"/>
        <w:rPr>
          <w:rFonts w:hint="default" w:asciiTheme="minorEastAsia" w:hAnsiTheme="minorEastAsia" w:cstheme="minorEastAsia"/>
          <w:color w:val="auto"/>
          <w:sz w:val="32"/>
          <w:szCs w:val="32"/>
          <w:lang w:val="en-US"/>
        </w:rPr>
      </w:pPr>
      <w:r>
        <w:rPr>
          <w:rFonts w:hint="eastAsia" w:ascii="仿宋_GB2312" w:eastAsia="仿宋_GB2312" w:hAnsiTheme="minorEastAsia" w:cstheme="minorEastAsia"/>
          <w:color w:val="auto"/>
          <w:sz w:val="32"/>
          <w:szCs w:val="32"/>
        </w:rPr>
        <w:t>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w:t>
      </w:r>
      <w:r>
        <w:rPr>
          <w:rFonts w:hint="eastAsia" w:ascii="仿宋_GB2312" w:eastAsia="仿宋_GB2312" w:hAnsiTheme="minorEastAsia" w:cstheme="minorEastAsia"/>
          <w:color w:val="auto"/>
          <w:sz w:val="32"/>
          <w:szCs w:val="32"/>
          <w:lang w:eastAsia="zh-CN"/>
        </w:rPr>
        <w:t>襄垣县第二中学校</w:t>
      </w:r>
      <w:r>
        <w:rPr>
          <w:rFonts w:hint="eastAsia" w:ascii="仿宋_GB2312" w:eastAsia="仿宋_GB2312" w:hAnsiTheme="minorEastAsia" w:cstheme="minorEastAsia"/>
          <w:color w:val="auto"/>
          <w:sz w:val="32"/>
          <w:szCs w:val="32"/>
        </w:rPr>
        <w:t>政府性基金支出预算</w:t>
      </w:r>
      <w:r>
        <w:rPr>
          <w:rFonts w:hint="eastAsia" w:ascii="仿宋_GB2312" w:eastAsia="仿宋_GB2312" w:hAnsiTheme="minorEastAsia" w:cstheme="minorEastAsia"/>
          <w:color w:val="auto"/>
          <w:sz w:val="32"/>
          <w:szCs w:val="32"/>
          <w:lang w:eastAsia="zh-CN"/>
        </w:rPr>
        <w:t>本年度无此项预算，故无此项说明</w:t>
      </w:r>
      <w:r>
        <w:rPr>
          <w:rFonts w:hint="eastAsia" w:ascii="仿宋_GB2312" w:eastAsia="仿宋_GB2312" w:hAnsiTheme="minorEastAsia" w:cstheme="minorEastAsia"/>
          <w:color w:val="auto"/>
          <w:sz w:val="32"/>
          <w:szCs w:val="32"/>
          <w:lang w:val="en-US" w:eastAsia="zh-CN"/>
        </w:rPr>
        <w:t>.</w:t>
      </w:r>
    </w:p>
    <w:p>
      <w:pPr>
        <w:rPr>
          <w:rFonts w:asciiTheme="minorEastAsia" w:hAnsiTheme="minorEastAsia" w:cstheme="minorEastAsia"/>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2CF13CC"/>
    <w:rsid w:val="05E42E29"/>
    <w:rsid w:val="061E09E3"/>
    <w:rsid w:val="06A43BA7"/>
    <w:rsid w:val="087A6196"/>
    <w:rsid w:val="0B553CDA"/>
    <w:rsid w:val="0C5A5250"/>
    <w:rsid w:val="0C64513E"/>
    <w:rsid w:val="0DE649EC"/>
    <w:rsid w:val="0EE25EB1"/>
    <w:rsid w:val="10CB3E8D"/>
    <w:rsid w:val="11F35FF2"/>
    <w:rsid w:val="179A58B8"/>
    <w:rsid w:val="1B4A6025"/>
    <w:rsid w:val="1DF453AF"/>
    <w:rsid w:val="1E107510"/>
    <w:rsid w:val="1E643EFE"/>
    <w:rsid w:val="209E0EC3"/>
    <w:rsid w:val="22140CC1"/>
    <w:rsid w:val="24D63713"/>
    <w:rsid w:val="2A937DAC"/>
    <w:rsid w:val="2D131CF5"/>
    <w:rsid w:val="2DB60033"/>
    <w:rsid w:val="2F754CA8"/>
    <w:rsid w:val="2FB928F6"/>
    <w:rsid w:val="341824CB"/>
    <w:rsid w:val="343F3937"/>
    <w:rsid w:val="34D53928"/>
    <w:rsid w:val="353D1DB4"/>
    <w:rsid w:val="36870474"/>
    <w:rsid w:val="37015ED3"/>
    <w:rsid w:val="39E01B38"/>
    <w:rsid w:val="3F5C42DA"/>
    <w:rsid w:val="43E475B8"/>
    <w:rsid w:val="458B37F5"/>
    <w:rsid w:val="467D2DBE"/>
    <w:rsid w:val="48832669"/>
    <w:rsid w:val="48E87EB6"/>
    <w:rsid w:val="4A4F3891"/>
    <w:rsid w:val="4AFA4BB2"/>
    <w:rsid w:val="4D9B3CEE"/>
    <w:rsid w:val="4EBA5260"/>
    <w:rsid w:val="522F50B0"/>
    <w:rsid w:val="52567629"/>
    <w:rsid w:val="582B68F4"/>
    <w:rsid w:val="5D083F24"/>
    <w:rsid w:val="5D306324"/>
    <w:rsid w:val="5E0B45F3"/>
    <w:rsid w:val="60860A87"/>
    <w:rsid w:val="60B46440"/>
    <w:rsid w:val="61C6166E"/>
    <w:rsid w:val="635C762A"/>
    <w:rsid w:val="6FD93AE0"/>
    <w:rsid w:val="71715484"/>
    <w:rsid w:val="71FC58C7"/>
    <w:rsid w:val="7249546B"/>
    <w:rsid w:val="729F0AAD"/>
    <w:rsid w:val="72B43964"/>
    <w:rsid w:val="75F45C0F"/>
    <w:rsid w:val="77137327"/>
    <w:rsid w:val="7C7014AB"/>
    <w:rsid w:val="7E493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5</TotalTime>
  <ScaleCrop>false</ScaleCrop>
  <LinksUpToDate>false</LinksUpToDate>
  <CharactersWithSpaces>3878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l</cp:lastModifiedBy>
  <cp:lastPrinted>2019-09-11T06:01:00Z</cp:lastPrinted>
  <dcterms:modified xsi:type="dcterms:W3CDTF">2021-06-05T07:54:00Z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