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Arial" w:hAnsi="Arial" w:eastAsia="黑体" w:cs="Arial"/>
          <w:color w:val="auto"/>
          <w:sz w:val="44"/>
          <w:szCs w:val="44"/>
          <w:lang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eastAsia="zh-CN"/>
        </w:rPr>
        <w:t>城内第二小学校</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为实施小学义务教育，促进基础教育发展。小学学历（教育相关社会服务）提供服务。</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b w:val="0"/>
          <w:bCs w:val="0"/>
          <w:color w:val="auto"/>
          <w:kern w:val="2"/>
          <w:sz w:val="30"/>
          <w:szCs w:val="30"/>
          <w:lang w:val="en-US" w:eastAsia="zh-CN" w:bidi="ar"/>
        </w:rPr>
      </w:pPr>
      <w:r>
        <w:rPr>
          <w:rFonts w:hint="eastAsia" w:ascii="仿宋" w:hAnsi="仿宋" w:eastAsia="仿宋" w:cs="仿宋_GB2312"/>
          <w:b w:val="0"/>
          <w:bCs w:val="0"/>
          <w:color w:val="auto"/>
          <w:kern w:val="2"/>
          <w:sz w:val="30"/>
          <w:szCs w:val="30"/>
          <w:lang w:val="en-US" w:eastAsia="zh-CN" w:bidi="ar"/>
        </w:rPr>
        <w:t>襄垣县城内第二小学校，内设7个职能股室分别为：</w:t>
      </w:r>
      <w:r>
        <w:rPr>
          <w:rFonts w:hint="eastAsia"/>
          <w:b w:val="0"/>
          <w:bCs w:val="0"/>
          <w:color w:val="auto"/>
          <w:sz w:val="32"/>
          <w:szCs w:val="32"/>
          <w:lang w:val="en-US" w:eastAsia="zh-CN"/>
        </w:rPr>
        <w:t>教导处、政教处、教研室、财务室、办公室、后勤中心、电教中心</w:t>
      </w:r>
      <w:r>
        <w:rPr>
          <w:rFonts w:hint="eastAsia" w:ascii="仿宋" w:hAnsi="仿宋" w:eastAsia="仿宋" w:cs="仿宋_GB2312"/>
          <w:b w:val="0"/>
          <w:bCs w:val="0"/>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现有事业编制81名，事业专技人员80名，事业工勤1  人。</w:t>
      </w:r>
    </w:p>
    <w:p>
      <w:pPr>
        <w:ind w:firstLine="643" w:firstLineChars="200"/>
        <w:rPr>
          <w:rFonts w:hint="eastAsia" w:ascii="楷体" w:hAnsi="楷体" w:eastAsia="楷体" w:cstheme="minorEastAsia"/>
          <w:b/>
          <w:bCs w:val="0"/>
          <w:color w:val="auto"/>
          <w:sz w:val="32"/>
          <w:szCs w:val="32"/>
          <w:lang w:eastAsia="zh-CN"/>
        </w:rPr>
      </w:pPr>
      <w:bookmarkStart w:id="0" w:name="_GoBack"/>
      <w:r>
        <w:rPr>
          <w:rFonts w:hint="eastAsia" w:ascii="楷体" w:hAnsi="楷体" w:eastAsia="楷体" w:cstheme="minorEastAsia"/>
          <w:b/>
          <w:bCs w:val="0"/>
          <w:color w:val="auto"/>
          <w:sz w:val="32"/>
          <w:szCs w:val="32"/>
          <w:lang w:eastAsia="zh-CN"/>
        </w:rPr>
        <w:t>三、预算收支增减变化情况说明</w:t>
      </w:r>
    </w:p>
    <w:bookmarkEnd w:id="0"/>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襄垣县城内第二小学校2020年度收入、支出预算总计941.68万元，与上年相比收、支预算总计各增加109.89 万元，增长109.89 %。主要原因是学生和教师人数增加。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（一）收入预算总计941.68万元。包括：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1．财政拨款收入预算总计941.68万元。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（1）一般公共预算收入预算941.68万元，与上年相比增加109.89万元，增长109.89%。主要原因是学生和教师人数增加。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（二）支出预算总计941.68万元。包括：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1．教育支出727.05万元，主要用于教育业务活动支出。与上年相比增加138.63万元，增长23.56 %。主要原因是学生和教师人数增加。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2．社会保障和就业支出216.43万元，主要用于教师社会保险费用。与上年相比减少28.74万元，减少11.81%。主要原因是本年度未将医疗保险列入社会保障和就业支出。</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本单位本年度</w:t>
      </w:r>
      <w:r>
        <w:rPr>
          <w:rFonts w:hint="eastAsia" w:ascii="仿宋_GB2312" w:eastAsia="仿宋_GB2312" w:hAnsiTheme="minorEastAsia" w:cstheme="minorEastAsia"/>
          <w:color w:val="auto"/>
          <w:sz w:val="32"/>
          <w:szCs w:val="32"/>
          <w:lang w:eastAsia="zh-CN"/>
        </w:rPr>
        <w:t>运行经费支出</w:t>
      </w:r>
      <w:r>
        <w:rPr>
          <w:rFonts w:hint="eastAsia" w:ascii="仿宋_GB2312" w:eastAsia="仿宋_GB2312" w:hAnsiTheme="minorEastAsia" w:cstheme="minorEastAsia"/>
          <w:color w:val="auto"/>
          <w:sz w:val="32"/>
          <w:szCs w:val="32"/>
          <w:lang w:val="en-US" w:eastAsia="zh-CN"/>
        </w:rPr>
        <w:t>129.42万元，</w:t>
      </w:r>
      <w:r>
        <w:rPr>
          <w:rFonts w:hint="eastAsia" w:ascii="仿宋_GB2312" w:eastAsia="仿宋_GB2312" w:hAnsiTheme="minorEastAsia" w:cstheme="minorEastAsia"/>
          <w:color w:val="auto"/>
          <w:sz w:val="32"/>
          <w:szCs w:val="32"/>
          <w:lang w:eastAsia="zh-CN"/>
        </w:rPr>
        <w:t>其中：办公费23.12万元、 印刷费1万元、咨询费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2万元、手续费0.1万元、水费5万元、电费5万元、取暖费32.2万元、租赁费0.5万元、邮电费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0.5万元、差旅费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val="en-US" w:eastAsia="zh-CN"/>
        </w:rPr>
        <w:t>1万元、</w:t>
      </w:r>
      <w:r>
        <w:rPr>
          <w:rFonts w:hint="eastAsia" w:ascii="仿宋_GB2312" w:eastAsia="仿宋_GB2312" w:hAnsiTheme="minorEastAsia" w:cstheme="minorEastAsia"/>
          <w:color w:val="auto"/>
          <w:sz w:val="32"/>
          <w:szCs w:val="32"/>
          <w:lang w:eastAsia="zh-CN"/>
        </w:rPr>
        <w:t xml:space="preserve"> 维修（护）费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24万元、劳务费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20万元、培训费5万元、公务接待费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0.5万元、工会经费6.5万元、福利费</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0.</w:t>
      </w:r>
      <w:r>
        <w:rPr>
          <w:rFonts w:hint="eastAsia" w:ascii="仿宋_GB2312" w:eastAsia="仿宋_GB2312" w:hAnsiTheme="minorEastAsia" w:cstheme="minorEastAsia"/>
          <w:color w:val="auto"/>
          <w:sz w:val="32"/>
          <w:szCs w:val="32"/>
          <w:lang w:val="en-US" w:eastAsia="zh-CN"/>
        </w:rPr>
        <w:t>5</w:t>
      </w:r>
      <w:r>
        <w:rPr>
          <w:rFonts w:hint="eastAsia" w:ascii="仿宋_GB2312" w:eastAsia="仿宋_GB2312" w:hAnsiTheme="minorEastAsia" w:cstheme="minorEastAsia"/>
          <w:color w:val="auto"/>
          <w:sz w:val="32"/>
          <w:szCs w:val="32"/>
          <w:lang w:eastAsia="zh-CN"/>
        </w:rPr>
        <w:t>万元、其他交通费用</w:t>
      </w:r>
      <w:r>
        <w:rPr>
          <w:rFonts w:hint="eastAsia" w:ascii="仿宋_GB2312" w:eastAsia="仿宋_GB2312" w:hAnsiTheme="minorEastAsia" w:cstheme="minorEastAsia"/>
          <w:color w:val="auto"/>
          <w:sz w:val="32"/>
          <w:szCs w:val="32"/>
          <w:lang w:eastAsia="zh-CN"/>
        </w:rPr>
        <w:tab/>
      </w:r>
      <w:r>
        <w:rPr>
          <w:rFonts w:hint="eastAsia" w:ascii="仿宋_GB2312" w:eastAsia="仿宋_GB2312" w:hAnsiTheme="minorEastAsia" w:cstheme="minorEastAsia"/>
          <w:color w:val="auto"/>
          <w:sz w:val="32"/>
          <w:szCs w:val="32"/>
          <w:lang w:eastAsia="zh-CN"/>
        </w:rPr>
        <w:t>0.5万元、其他商品和服务支出2万元。</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742.38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62.08</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428.1</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252.2</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105.41</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322.69</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-283.92</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增加</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增加</w:t>
      </w:r>
      <w:r>
        <w:rPr>
          <w:rFonts w:hint="eastAsia" w:ascii="仿宋_GB2312" w:eastAsia="仿宋_GB2312" w:hAnsiTheme="minorEastAsia" w:cstheme="minorEastAsia"/>
          <w:color w:val="auto"/>
          <w:sz w:val="32"/>
          <w:szCs w:val="32"/>
          <w:lang w:val="en-US" w:eastAsia="zh-CN"/>
        </w:rPr>
        <w:t xml:space="preserve">100 </w:t>
      </w:r>
      <w:r>
        <w:rPr>
          <w:rFonts w:hint="eastAsia" w:ascii="仿宋_GB2312" w:eastAsia="仿宋_GB2312" w:hAnsiTheme="minorEastAsia" w:cstheme="minorEastAsia"/>
          <w:color w:val="auto"/>
          <w:sz w:val="32"/>
          <w:szCs w:val="32"/>
        </w:rPr>
        <w:t>%，其中：</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w:t>
      </w: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）公务接待费支出年初预算数为</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增加</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增加</w:t>
      </w:r>
      <w:r>
        <w:rPr>
          <w:rFonts w:hint="eastAsia" w:ascii="仿宋_GB2312" w:eastAsia="仿宋_GB2312" w:hAnsiTheme="minorEastAsia" w:cstheme="minorEastAsia"/>
          <w:color w:val="auto"/>
          <w:sz w:val="32"/>
          <w:szCs w:val="32"/>
          <w:lang w:val="en-US" w:eastAsia="zh-CN"/>
        </w:rPr>
        <w:t xml:space="preserve">0.5 </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val="en-US" w:eastAsia="zh-CN"/>
        </w:rPr>
        <w:t>2019年度未做公务接待费预算支出。</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仿宋_GB2312" w:eastAsia="仿宋_GB2312" w:hAnsiTheme="minorEastAsia" w:cstheme="minorEastAsia"/>
          <w:color w:val="auto"/>
          <w:sz w:val="32"/>
          <w:szCs w:val="32"/>
          <w:lang w:eastAsia="zh-CN"/>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0FBD5C7E"/>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289473F"/>
    <w:rsid w:val="43E475B8"/>
    <w:rsid w:val="458B37F5"/>
    <w:rsid w:val="467D2DBE"/>
    <w:rsid w:val="48832669"/>
    <w:rsid w:val="489943BC"/>
    <w:rsid w:val="48E87EB6"/>
    <w:rsid w:val="4A4F3891"/>
    <w:rsid w:val="4AFA4BB2"/>
    <w:rsid w:val="4D9B3CEE"/>
    <w:rsid w:val="4EBA5260"/>
    <w:rsid w:val="4F427ADD"/>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2021-06-05T07:43:02Z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