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黑体" w:hAnsi="黑体" w:eastAsia="黑体" w:cstheme="minorEastAsia"/>
          <w:sz w:val="44"/>
          <w:szCs w:val="44"/>
          <w:lang w:val="en-US" w:eastAsia="zh-CN"/>
        </w:rPr>
        <w:t>五阳矿小学</w:t>
      </w:r>
      <w:r>
        <w:rPr>
          <w:rFonts w:hint="eastAsia" w:ascii="黑体" w:hAnsi="黑体" w:eastAsia="黑体" w:cstheme="minorEastAsia"/>
          <w:sz w:val="44"/>
          <w:szCs w:val="44"/>
        </w:rPr>
        <w:t>部门</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numPr>
          <w:ilvl w:val="0"/>
          <w:numId w:val="1"/>
        </w:numPr>
        <w:ind w:firstLine="643" w:firstLineChars="200"/>
        <w:rPr>
          <w:rFonts w:hint="eastAsia"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部门主要职能</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一）全面贯彻执行党和国家的教育方针、政策、法规，自觉抵制各种违反教育方针、政策、法规的倾向，实施素质教育。坚持社会主义办学方向，努力培养德、智、体全面发展的社会主义事业的建设者和接班人。按教育规律办学，不断提高教育质量全面贯彻党的教育方针。严格执行新课程标准，坚持教书育人、管理育人、服务育人。搞好学校财产和师生的人生安全工作，为师生创造安全、温馨、和谐的工作和学习环境。</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（二）严格贯彻执行国家财政、财务，会计管理以及行政事业单位国有资产管理的法律、法规及各项方针政策，执行全县财政、财务、会计管理及行政事业单位国有资产管理等基础管理规章制度。</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三）编制本单位年度预决算草案并严格执行；并向上级主管部门和县财政局申报草案，由主管部门向财政局及县人民代表大会报告预算及其执行情况且向县人大常委会报告决算；深化部门预算改革，组织制定经费开支标准、定额，负责审核本单位的年度预决算.</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（四）确定本单位年度收入计划。</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（五）严格贯彻执行县国库管理制度、国库集中支付制度，负责审核和编制本单位预算和部门决算。</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（六）贯彻执行国家有关政府采购的政策，负责本单位采购工作；严格执行国家规定的开支标准和支出政策，制定本单位开支标准和支出政策。</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（七）负责制定并实施本单位关于资产管理的具体制度并执行。</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（八）执行县级政府性投资项目的财政拨款。</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（九）拟定本单位保障资金的财务管理制度且严格执行。</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（十）贯彻执行国家关于国内债务和政府外债管理的各项方针、政策、规章制度和管理办法。</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（十一）贯彻国家会计法规、准则和制度；服从县财政局对本单位会计人员的一切培训和学习计划。</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（十二）执行财税方针、政策、法律、法规，及时发现收支管理中的问题；提高服务水平。</w:t>
      </w:r>
    </w:p>
    <w:p>
      <w:pPr>
        <w:keepNext w:val="0"/>
        <w:keepLines w:val="0"/>
        <w:widowControl w:val="0"/>
        <w:suppressLineNumbers w:val="0"/>
        <w:spacing w:before="0" w:beforeAutospacing="0" w:after="0" w:afterAutospacing="0"/>
        <w:ind w:left="0" w:right="0" w:firstLine="537" w:firstLineChars="168"/>
        <w:jc w:val="both"/>
        <w:rPr>
          <w:rFonts w:hint="eastAsia" w:ascii="楷体" w:hAnsi="楷体" w:eastAsia="楷体" w:cstheme="minorEastAsia"/>
          <w:b/>
          <w:bCs w:val="0"/>
          <w:color w:val="auto"/>
          <w:sz w:val="32"/>
          <w:szCs w:val="32"/>
        </w:rPr>
      </w:pPr>
      <w:r>
        <w:rPr>
          <w:rFonts w:hint="eastAsia" w:ascii="仿宋" w:hAnsi="仿宋" w:eastAsia="仿宋" w:cs="仿宋"/>
          <w:color w:val="auto"/>
          <w:kern w:val="2"/>
          <w:sz w:val="32"/>
          <w:szCs w:val="32"/>
          <w:lang w:val="en-US" w:eastAsia="zh-CN" w:bidi="ar"/>
        </w:rPr>
        <w:t>（十三）本单位严格贯彻执行国家财政、税收、宏观经济等各项方针政策，执行全县财政、税收的发展战略、方针政策、中长期规划、改革方案及其它有关政策；认真执行上级部门提出运用财税政策，实施宏观调控和综合平衡社会财力的建议。</w:t>
      </w:r>
    </w:p>
    <w:p>
      <w:pPr>
        <w:ind w:firstLine="643" w:firstLineChars="200"/>
        <w:rPr>
          <w:rFonts w:hint="eastAsia"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ind w:firstLine="643" w:firstLineChars="200"/>
        <w:rPr>
          <w:rFonts w:hint="eastAsia" w:ascii="楷体" w:hAnsi="楷体" w:eastAsia="楷体" w:cstheme="minorEastAsia"/>
          <w:b/>
          <w:bCs w:val="0"/>
          <w:color w:val="auto"/>
          <w:sz w:val="32"/>
          <w:szCs w:val="32"/>
        </w:rPr>
      </w:pP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襄垣县五阳矿小学内设8个职能股室、中心，职能股室、中心分别为：教师、办公室、教导处、教研室、政教处、总务处、工会、综治办。</w:t>
      </w:r>
    </w:p>
    <w:p>
      <w:pPr>
        <w:widowControl/>
        <w:spacing w:line="324" w:lineRule="atLeast"/>
        <w:ind w:left="540"/>
        <w:jc w:val="left"/>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0" w:firstLineChars="200"/>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现有事业编制77名，实有73人，其中专业技术人员73人。</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襄垣县五阳矿小学2020年度收入支出预算总计938.24万元，与上年相比收、支预算总计各增加63.41万元，增加7.25%。</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（一）收入预算总计938.24万元。包括：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1．财政拨款收入预算总计938.24万元。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（1）一般公共预算收入预算924.94万元，与上年相比增加51.07万元，增加5.84%。</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（2）政府性基金收入预算0万元，与上年相比增加（减少）0万元，增长（减少）0 %。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2．财政专户管理资金收入预算总计0万元。与上年相比增加（减少）0万元，增长（减少）0 %。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3．其他资金收入预算总计0万元。与上年相比增加（减少）0万元，增长（减少）0%。</w:t>
      </w:r>
    </w:p>
    <w:p>
      <w:pPr>
        <w:ind w:firstLine="645"/>
        <w:rPr>
          <w:rFonts w:hint="default"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4．上年结转资金预算数为13.30万元。与上年相比增加12.34万元。增加1285.42%。</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（二）支出预算总计924.94万元。包括：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1．一般公共服务（类）支出924.94万元，主要用于人员工资和学校日常开销。与上年相比增加51.07万元，增加5.84%。公共安全（类）支出0万元。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此外，基本支出预算数为924.94万元。与上年相比增加51.07万元，增加5.84%。</w:t>
      </w:r>
    </w:p>
    <w:p>
      <w:pPr>
        <w:ind w:firstLine="645"/>
        <w:rPr>
          <w:rFonts w:hint="default"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项目支出预算数为0万元。与上年相比减少0万元，减少0%。</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57.53万元，较2019</w:t>
      </w:r>
      <w:bookmarkStart w:id="0" w:name="_GoBack"/>
      <w:bookmarkEnd w:id="0"/>
      <w:r>
        <w:rPr>
          <w:rFonts w:hint="eastAsia" w:ascii="仿宋_GB2312" w:eastAsia="仿宋_GB2312" w:hAnsiTheme="minorEastAsia" w:cstheme="minorEastAsia"/>
          <w:color w:val="auto"/>
          <w:sz w:val="32"/>
          <w:szCs w:val="32"/>
          <w:lang w:val="en-US" w:eastAsia="zh-CN"/>
        </w:rPr>
        <w:t>年减少18.18万元，其中：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10.08万元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5万元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2.5万元</w:t>
      </w:r>
      <w:r>
        <w:rPr>
          <w:rFonts w:hint="eastAsia" w:ascii="仿宋_GB2312" w:eastAsia="仿宋_GB2312" w:hAnsiTheme="minorEastAsia" w:cstheme="minorEastAsia"/>
          <w:color w:val="auto"/>
          <w:sz w:val="32"/>
          <w:szCs w:val="32"/>
        </w:rPr>
        <w:t>等。</w:t>
      </w:r>
      <w:r>
        <w:rPr>
          <w:rFonts w:hint="eastAsia" w:ascii="仿宋_GB2312" w:eastAsia="仿宋_GB2312" w:hAnsiTheme="minorEastAsia" w:cstheme="minorEastAsia"/>
          <w:color w:val="auto"/>
          <w:sz w:val="32"/>
          <w:szCs w:val="32"/>
          <w:lang w:eastAsia="zh-CN"/>
        </w:rPr>
        <w:t>主要增减变化情况：</w:t>
      </w:r>
      <w:r>
        <w:rPr>
          <w:rFonts w:hint="eastAsia" w:ascii="仿宋_GB2312" w:eastAsia="仿宋_GB2312" w:hAnsiTheme="minorEastAsia" w:cstheme="minorEastAsia"/>
          <w:color w:val="auto"/>
          <w:sz w:val="32"/>
          <w:szCs w:val="32"/>
          <w:lang w:val="en-US" w:eastAsia="zh-CN"/>
        </w:rPr>
        <w:t>办公费、差旅费均有所下降。</w:t>
      </w:r>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lang w:val="en-US" w:eastAsia="zh-CN"/>
        </w:rPr>
        <w:t>4.81</w:t>
      </w:r>
      <w:r>
        <w:rPr>
          <w:rFonts w:hint="eastAsia" w:ascii="仿宋_GB2312" w:eastAsia="仿宋_GB2312" w:hAnsiTheme="minorEastAsia" w:cstheme="minorEastAsia"/>
          <w:color w:val="auto"/>
          <w:sz w:val="32"/>
          <w:szCs w:val="32"/>
        </w:rPr>
        <w:t>万元，其中：政府采购货物支出</w:t>
      </w:r>
      <w:r>
        <w:rPr>
          <w:rFonts w:hint="eastAsia" w:ascii="仿宋_GB2312" w:eastAsia="仿宋_GB2312" w:hAnsiTheme="minorEastAsia" w:cstheme="minorEastAsia"/>
          <w:color w:val="auto"/>
          <w:sz w:val="32"/>
          <w:szCs w:val="32"/>
          <w:lang w:val="en-US" w:eastAsia="zh-CN"/>
        </w:rPr>
        <w:t>4.81</w:t>
      </w:r>
      <w:r>
        <w:rPr>
          <w:rFonts w:hint="eastAsia" w:ascii="仿宋_GB2312" w:eastAsia="仿宋_GB2312" w:hAnsiTheme="minorEastAsia" w:cstheme="minorEastAsia"/>
          <w:color w:val="auto"/>
          <w:sz w:val="32"/>
          <w:szCs w:val="32"/>
        </w:rPr>
        <w:t>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pStyle w:val="2"/>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455.31</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 xml:space="preserve">13.34 </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378.15</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45.93</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17.89</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298.02</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 xml:space="preserve">0 </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 xml:space="preserve"> 0</w:t>
      </w:r>
      <w:r>
        <w:rPr>
          <w:rFonts w:hint="eastAsia" w:ascii="仿宋_GB2312" w:hAnsi="仿宋_GB2312" w:eastAsia="仿宋_GB2312" w:cs="仿宋_GB2312"/>
          <w:color w:val="auto"/>
          <w:sz w:val="32"/>
          <w:szCs w:val="32"/>
          <w:shd w:val="clear" w:color="auto" w:fill="FFFFFF"/>
        </w:rPr>
        <w:t>万元，单价200万元以上大型设备价值</w:t>
      </w:r>
      <w:r>
        <w:rPr>
          <w:rFonts w:hint="eastAsia" w:ascii="仿宋_GB2312" w:hAnsi="仿宋_GB2312" w:eastAsia="仿宋_GB2312" w:cs="仿宋_GB2312"/>
          <w:color w:val="auto"/>
          <w:sz w:val="32"/>
          <w:szCs w:val="32"/>
          <w:shd w:val="clear" w:color="auto" w:fill="FFFFFF"/>
          <w:lang w:val="en-US" w:eastAsia="zh-CN"/>
        </w:rPr>
        <w:t xml:space="preserve"> 0 </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80.13</w:t>
      </w:r>
      <w:r>
        <w:rPr>
          <w:rFonts w:hint="eastAsia" w:ascii="仿宋_GB2312" w:hAnsi="仿宋_GB2312" w:eastAsia="仿宋_GB2312" w:cs="仿宋_GB2312"/>
          <w:color w:val="auto"/>
          <w:sz w:val="32"/>
          <w:szCs w:val="32"/>
          <w:shd w:val="clear" w:color="auto" w:fill="FFFFFF"/>
        </w:rPr>
        <w:t>万元。 </w:t>
      </w:r>
    </w:p>
    <w:p>
      <w:pPr>
        <w:pStyle w:val="2"/>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与上年相比，本年资产总额增加</w:t>
      </w:r>
      <w:r>
        <w:rPr>
          <w:rFonts w:hint="eastAsia" w:ascii="仿宋_GB2312" w:hAnsi="仿宋_GB2312" w:eastAsia="仿宋_GB2312" w:cs="仿宋_GB2312"/>
          <w:color w:val="auto"/>
          <w:sz w:val="32"/>
          <w:szCs w:val="32"/>
          <w:shd w:val="clear" w:color="auto" w:fill="FFFFFF"/>
          <w:lang w:val="en-US" w:eastAsia="zh-CN"/>
        </w:rPr>
        <w:t xml:space="preserve"> 40.33</w:t>
      </w:r>
      <w:r>
        <w:rPr>
          <w:rFonts w:hint="eastAsia" w:ascii="仿宋_GB2312" w:hAnsi="仿宋_GB2312" w:eastAsia="仿宋_GB2312" w:cs="仿宋_GB2312"/>
          <w:color w:val="auto"/>
          <w:sz w:val="32"/>
          <w:szCs w:val="32"/>
          <w:shd w:val="clear" w:color="auto" w:fill="FFFFFF"/>
        </w:rPr>
        <w:t>万元。 </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我单位本年度项目支出0万元，其中：重点项目支出0万元。</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 xml:space="preserve"> 0</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val="en-US" w:eastAsia="zh-CN"/>
        </w:rPr>
        <w:t xml:space="preserve"> </w:t>
      </w:r>
      <w:r>
        <w:rPr>
          <w:rFonts w:hint="eastAsia" w:ascii="仿宋_GB2312" w:eastAsia="仿宋_GB2312" w:hAnsiTheme="minorEastAsia" w:cstheme="minorEastAsia"/>
          <w:color w:val="auto"/>
          <w:sz w:val="32"/>
          <w:szCs w:val="32"/>
        </w:rPr>
        <w:t>其中：</w:t>
      </w:r>
    </w:p>
    <w:p>
      <w:pPr>
        <w:numPr>
          <w:ilvl w:val="0"/>
          <w:numId w:val="2"/>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w:t>
      </w:r>
    </w:p>
    <w:p>
      <w:pPr>
        <w:rPr>
          <w:rFonts w:hint="eastAsia"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eastAsia="zh-CN"/>
        </w:rPr>
        <w:t>。</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年增加（减少）0万元，增长（下降）0%；公务用车运行维护费支出年初预算数为0万元，较201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年增加（减少）0万元，增长（下降）0%。</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0辆，公务用车保有量0辆。</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val="en-US" w:eastAsia="zh-CN"/>
        </w:rPr>
        <w:t>襄垣县五阳矿小学</w:t>
      </w:r>
      <w:r>
        <w:rPr>
          <w:rFonts w:hint="eastAsia" w:ascii="仿宋_GB2312" w:eastAsia="仿宋_GB2312" w:hAnsiTheme="minorEastAsia" w:cstheme="minorEastAsia"/>
          <w:color w:val="auto"/>
          <w:sz w:val="32"/>
          <w:szCs w:val="32"/>
        </w:rPr>
        <w:t>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年政府性基金支出预算</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w:t>
      </w:r>
    </w:p>
    <w:p>
      <w:pPr>
        <w:ind w:firstLine="640" w:firstLineChars="200"/>
        <w:rPr>
          <w:rFonts w:asciiTheme="minorEastAsia" w:hAnsiTheme="minorEastAsia" w:cstheme="minorEastAsia"/>
          <w:color w:val="auto"/>
          <w:sz w:val="32"/>
          <w:szCs w:val="32"/>
        </w:rPr>
      </w:pPr>
    </w:p>
    <w:p>
      <w:pPr>
        <w:rPr>
          <w:rFonts w:asciiTheme="minorEastAsia" w:hAnsiTheme="minorEastAsia" w:cstheme="minorEastAsia"/>
          <w:color w:val="auto"/>
          <w:sz w:val="32"/>
          <w:szCs w:val="32"/>
        </w:rPr>
      </w:pPr>
    </w:p>
    <w:p>
      <w:pPr>
        <w:rPr>
          <w:color w:val="auto"/>
        </w:rPr>
      </w:pPr>
    </w:p>
    <w:p>
      <w:pPr>
        <w:rPr>
          <w:color w:val="auto"/>
        </w:rPr>
      </w:pPr>
    </w:p>
    <w:p>
      <w:pPr>
        <w:rPr>
          <w:color w:val="auto"/>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B2BD08"/>
    <w:multiLevelType w:val="singleLevel"/>
    <w:tmpl w:val="EEB2BD08"/>
    <w:lvl w:ilvl="0" w:tentative="0">
      <w:start w:val="1"/>
      <w:numFmt w:val="chineseCounting"/>
      <w:suff w:val="nothing"/>
      <w:lvlText w:val="%1、"/>
      <w:lvlJc w:val="left"/>
      <w:rPr>
        <w:rFonts w:hint="eastAsia"/>
      </w:rPr>
    </w:lvl>
  </w:abstractNum>
  <w:abstractNum w:abstractNumId="1">
    <w:nsid w:val="FF867C84"/>
    <w:multiLevelType w:val="singleLevel"/>
    <w:tmpl w:val="FF867C84"/>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A33C58"/>
    <w:rsid w:val="01617B20"/>
    <w:rsid w:val="07161CD3"/>
    <w:rsid w:val="100B0010"/>
    <w:rsid w:val="1E835AC2"/>
    <w:rsid w:val="2002417A"/>
    <w:rsid w:val="27246861"/>
    <w:rsid w:val="41892E24"/>
    <w:rsid w:val="5C401102"/>
    <w:rsid w:val="6FA33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2021-06-03T04:59:00Z</dcterms:created>
  <dc:creator>swallow</dc:creator>
  <cp:lastModifiedBy>l</cp:lastModifiedBy>
  <dcterms:modified xsi:type="dcterms:W3CDTF">2021-06-05T10:53:43Z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745F71BCAC0E4585B451021F05C0EC40</vt:lpwstr>
  </property>
</Properties>
</file>