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rPr>
      </w:pPr>
    </w:p>
    <w:p>
      <w:pPr>
        <w:jc w:val="center"/>
        <w:rPr>
          <w:rFonts w:ascii="黑体" w:hAnsi="黑体" w:eastAsia="黑体" w:cstheme="minorEastAsia"/>
          <w:sz w:val="44"/>
          <w:szCs w:val="44"/>
        </w:rPr>
      </w:pPr>
      <w:r>
        <w:rPr>
          <w:rFonts w:hint="eastAsia" w:ascii="黑体" w:hAnsi="黑体" w:eastAsia="黑体" w:cstheme="minorEastAsia"/>
          <w:sz w:val="44"/>
          <w:szCs w:val="44"/>
        </w:rPr>
        <w:t>襄垣县</w:t>
      </w:r>
      <w:r>
        <w:rPr>
          <w:rFonts w:hint="eastAsia" w:ascii="Arial" w:hAnsi="Arial" w:eastAsia="黑体" w:cs="Arial"/>
          <w:sz w:val="44"/>
          <w:szCs w:val="44"/>
        </w:rPr>
        <w:t>太行小学</w:t>
      </w:r>
    </w:p>
    <w:p>
      <w:pPr>
        <w:jc w:val="center"/>
        <w:rPr>
          <w:rFonts w:ascii="黑体" w:hAnsi="黑体" w:eastAsia="黑体" w:cstheme="minorEastAsia"/>
          <w:sz w:val="44"/>
          <w:szCs w:val="44"/>
        </w:rPr>
      </w:pPr>
      <w:r>
        <w:rPr>
          <w:rFonts w:hint="eastAsia" w:ascii="黑体" w:hAnsi="黑体" w:eastAsia="黑体" w:cstheme="minorEastAsia"/>
          <w:sz w:val="44"/>
          <w:szCs w:val="44"/>
        </w:rPr>
        <w:t>2020年部门预算公开情况说明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ascii="楷体" w:hAnsi="楷体" w:eastAsia="楷体" w:cstheme="minorEastAsia"/>
          <w:b/>
          <w:sz w:val="32"/>
          <w:szCs w:val="32"/>
        </w:rPr>
      </w:pPr>
      <w:r>
        <w:rPr>
          <w:rFonts w:hint="eastAsia" w:ascii="楷体" w:hAnsi="楷体" w:eastAsia="楷体" w:cstheme="minorEastAsia"/>
          <w:b/>
          <w:sz w:val="32"/>
          <w:szCs w:val="32"/>
        </w:rPr>
        <w:t>一、部门主要职能</w:t>
      </w:r>
    </w:p>
    <w:p>
      <w:pPr>
        <w:ind w:firstLine="600" w:firstLineChars="200"/>
        <w:rPr>
          <w:rFonts w:ascii="仿宋" w:hAnsi="仿宋" w:eastAsia="仿宋" w:cs="仿宋_GB2312"/>
          <w:color w:val="auto"/>
          <w:sz w:val="30"/>
          <w:szCs w:val="30"/>
        </w:rPr>
      </w:pPr>
      <w:r>
        <w:rPr>
          <w:rFonts w:hint="eastAsia" w:ascii="仿宋" w:hAnsi="仿宋" w:eastAsia="仿宋" w:cs="仿宋_GB2312"/>
          <w:color w:val="auto"/>
          <w:sz w:val="30"/>
          <w:szCs w:val="30"/>
        </w:rPr>
        <w:t>为实施小学义务教育，促进基础教育发展提供服务。小学学历教育（相关社会服务）</w:t>
      </w:r>
    </w:p>
    <w:p>
      <w:pPr>
        <w:ind w:firstLine="643" w:firstLineChars="200"/>
        <w:rPr>
          <w:rFonts w:ascii="楷体" w:hAnsi="楷体" w:eastAsia="楷体" w:cstheme="minorEastAsia"/>
          <w:b/>
          <w:color w:val="auto"/>
          <w:sz w:val="32"/>
          <w:szCs w:val="32"/>
        </w:rPr>
      </w:pPr>
      <w:r>
        <w:rPr>
          <w:rFonts w:hint="eastAsia" w:ascii="楷体" w:hAnsi="楷体" w:eastAsia="楷体" w:cstheme="minorEastAsia"/>
          <w:b/>
          <w:color w:val="auto"/>
          <w:sz w:val="32"/>
          <w:szCs w:val="32"/>
        </w:rPr>
        <w:t>二、部门基本情况</w:t>
      </w:r>
    </w:p>
    <w:p>
      <w:pPr>
        <w:widowControl/>
        <w:spacing w:line="324" w:lineRule="atLeast"/>
        <w:ind w:left="540"/>
        <w:jc w:val="left"/>
        <w:rPr>
          <w:rFonts w:ascii="仿宋_GB2312" w:hAnsi="楷体" w:eastAsia="仿宋_GB2312" w:cs="宋体"/>
          <w:bCs/>
          <w:color w:val="auto"/>
          <w:kern w:val="0"/>
          <w:sz w:val="18"/>
          <w:szCs w:val="18"/>
        </w:rPr>
      </w:pPr>
      <w:r>
        <w:rPr>
          <w:rFonts w:hint="eastAsia" w:ascii="仿宋_GB2312" w:hAnsi="楷体" w:eastAsia="仿宋_GB2312" w:cs="宋体"/>
          <w:bCs/>
          <w:color w:val="auto"/>
          <w:kern w:val="0"/>
          <w:sz w:val="32"/>
          <w:szCs w:val="32"/>
        </w:rPr>
        <w:t>（一）机构设置情况</w:t>
      </w:r>
    </w:p>
    <w:p>
      <w:pPr>
        <w:ind w:firstLine="645"/>
        <w:rPr>
          <w:rFonts w:ascii="仿宋" w:hAnsi="仿宋" w:eastAsia="仿宋" w:cs="仿宋_GB2312"/>
          <w:color w:val="auto"/>
          <w:sz w:val="30"/>
          <w:szCs w:val="30"/>
        </w:rPr>
      </w:pPr>
      <w:r>
        <w:rPr>
          <w:rFonts w:hint="eastAsia" w:ascii="仿宋" w:hAnsi="仿宋" w:eastAsia="仿宋" w:cs="仿宋_GB2312"/>
          <w:color w:val="auto"/>
          <w:sz w:val="30"/>
          <w:szCs w:val="30"/>
        </w:rPr>
        <w:t xml:space="preserve">内设：办公室、教导处、政教处、教研室、总务处、工会、综治办。   。  </w:t>
      </w:r>
    </w:p>
    <w:p>
      <w:pPr>
        <w:widowControl/>
        <w:spacing w:line="324" w:lineRule="atLeast"/>
        <w:ind w:left="540"/>
        <w:jc w:val="left"/>
        <w:rPr>
          <w:rFonts w:ascii="仿宋_GB2312" w:hAnsi="楷体" w:eastAsia="仿宋_GB2312" w:cs="宋体"/>
          <w:bCs/>
          <w:color w:val="auto"/>
          <w:kern w:val="0"/>
          <w:sz w:val="32"/>
          <w:szCs w:val="32"/>
        </w:rPr>
      </w:pPr>
      <w:r>
        <w:rPr>
          <w:rFonts w:hint="eastAsia" w:ascii="仿宋_GB2312" w:hAnsi="楷体" w:eastAsia="仿宋_GB2312" w:cs="宋体"/>
          <w:bCs/>
          <w:color w:val="auto"/>
          <w:kern w:val="0"/>
          <w:sz w:val="32"/>
          <w:szCs w:val="32"/>
        </w:rPr>
        <w:t>（二）人员情况说明</w:t>
      </w:r>
    </w:p>
    <w:p>
      <w:pPr>
        <w:ind w:firstLine="645"/>
        <w:rPr>
          <w:rFonts w:ascii="仿宋_GB2312" w:hAnsi="仿宋" w:eastAsia="仿宋_GB2312" w:cstheme="minorEastAsia"/>
          <w:color w:val="auto"/>
          <w:sz w:val="32"/>
          <w:szCs w:val="32"/>
        </w:rPr>
      </w:pPr>
      <w:r>
        <w:rPr>
          <w:rFonts w:hint="eastAsia" w:ascii="仿宋" w:hAnsi="仿宋" w:eastAsia="仿宋" w:cs="仿宋_GB2312"/>
          <w:color w:val="auto"/>
          <w:sz w:val="32"/>
          <w:szCs w:val="32"/>
        </w:rPr>
        <w:t>现有行政、事业编制 73名，其中，行政编制 0名，事业编制 73名。实有47 人，其中公务员0 名，行政工勤 0人，事业人员 47名，其他 0 人。</w:t>
      </w:r>
    </w:p>
    <w:p>
      <w:pPr>
        <w:ind w:firstLine="643" w:firstLineChars="200"/>
        <w:rPr>
          <w:rFonts w:hint="eastAsia" w:ascii="楷体" w:hAnsi="楷体" w:eastAsia="楷体" w:cstheme="minorEastAsia"/>
          <w:b/>
          <w:color w:val="auto"/>
          <w:sz w:val="32"/>
          <w:szCs w:val="32"/>
        </w:rPr>
      </w:pPr>
      <w:bookmarkStart w:id="0" w:name="_GoBack"/>
      <w:r>
        <w:rPr>
          <w:rFonts w:hint="eastAsia" w:ascii="楷体" w:hAnsi="楷体" w:eastAsia="楷体" w:cstheme="minorEastAsia"/>
          <w:b/>
          <w:color w:val="auto"/>
          <w:sz w:val="32"/>
          <w:szCs w:val="32"/>
        </w:rPr>
        <w:t>三、预算收支增减变化情况说明</w:t>
      </w:r>
    </w:p>
    <w:bookmarkEnd w:id="0"/>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太行小学2020年度收入、支出预算总计 1179.92 万元，与上年相比收、支预算总计各增加588.31万元，增长99.44 %。主要原因是2020年增加了项目预算收入。其中：</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（一）收入预算总计  1179.92  万元。包括：</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1．财政拨款收入预算总计  1179.92  万元。</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（1）一般公共预算收入预算  1179.92 万元，与上年相比增加588.31万元，增长99.44 %。主要原因是增加项目收入。</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（2）政府性基金收入预算 0  万元，与上年相比增加（减少）0 万元，增长（减少） 0 %。主要原因是</w:t>
      </w:r>
      <w:r>
        <w:rPr>
          <w:rFonts w:hint="eastAsia" w:ascii="仿宋" w:hAnsi="仿宋" w:eastAsia="仿宋" w:cs="仿宋_GB2312"/>
          <w:color w:val="auto"/>
          <w:sz w:val="32"/>
          <w:szCs w:val="32"/>
          <w:lang w:eastAsia="zh-CN"/>
        </w:rPr>
        <w:t>无此项预算</w:t>
      </w:r>
      <w:r>
        <w:rPr>
          <w:rFonts w:hint="eastAsia" w:ascii="仿宋" w:hAnsi="仿宋" w:eastAsia="仿宋" w:cs="仿宋_GB2312"/>
          <w:color w:val="auto"/>
          <w:sz w:val="32"/>
          <w:szCs w:val="32"/>
        </w:rPr>
        <w:t>。</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2．财政专户管理资金收入预算总计 0 万元。与上年相比增加（减少）  0 万元，增长（减少） 0 %。主要原因是</w:t>
      </w:r>
      <w:r>
        <w:rPr>
          <w:rFonts w:hint="eastAsia" w:ascii="仿宋" w:hAnsi="仿宋" w:eastAsia="仿宋" w:cs="仿宋_GB2312"/>
          <w:color w:val="auto"/>
          <w:sz w:val="32"/>
          <w:szCs w:val="32"/>
          <w:lang w:eastAsia="zh-CN"/>
        </w:rPr>
        <w:t>无此项预算</w:t>
      </w:r>
      <w:r>
        <w:rPr>
          <w:rFonts w:hint="eastAsia" w:ascii="仿宋" w:hAnsi="仿宋" w:eastAsia="仿宋" w:cs="仿宋_GB2312"/>
          <w:color w:val="auto"/>
          <w:sz w:val="32"/>
          <w:szCs w:val="32"/>
        </w:rPr>
        <w:t>。</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3．其他资金收入预算总计  0 万元。与上年相比增加（减少） 0 万元，增长（减少）0  %。主要原因是</w:t>
      </w:r>
      <w:r>
        <w:rPr>
          <w:rFonts w:hint="eastAsia" w:ascii="仿宋" w:hAnsi="仿宋" w:eastAsia="仿宋" w:cs="仿宋_GB2312"/>
          <w:color w:val="auto"/>
          <w:sz w:val="32"/>
          <w:szCs w:val="32"/>
          <w:lang w:eastAsia="zh-CN"/>
        </w:rPr>
        <w:t>无此项预算</w:t>
      </w:r>
      <w:r>
        <w:rPr>
          <w:rFonts w:hint="eastAsia" w:ascii="仿宋" w:hAnsi="仿宋" w:eastAsia="仿宋" w:cs="仿宋_GB2312"/>
          <w:color w:val="auto"/>
          <w:sz w:val="32"/>
          <w:szCs w:val="32"/>
        </w:rPr>
        <w:t>。</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4．上年结转资金预算数为 2.05  万元。与上年相比增加3.92 万元，增长191 %。主要原因是经费结余待支出。</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（二）支出预算总计 1179.92 万元。包括：</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1．一般公共服务（类）支出 1179.92 万元，主要用于人员工资、单位正常运转、投入新校区的修建等。与上年相比588.31 万元，增长99.44 %。主要原因是项目支出增加。</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2．公共安全（类）支出 0 万元，主要用于</w:t>
      </w:r>
      <w:r>
        <w:rPr>
          <w:rFonts w:hint="eastAsia" w:ascii="仿宋" w:hAnsi="仿宋" w:eastAsia="仿宋" w:cs="仿宋_GB2312"/>
          <w:color w:val="auto"/>
          <w:sz w:val="32"/>
          <w:szCs w:val="32"/>
          <w:lang w:eastAsia="zh-CN"/>
        </w:rPr>
        <w:t>无此项预算</w:t>
      </w:r>
      <w:r>
        <w:rPr>
          <w:rFonts w:hint="eastAsia" w:ascii="仿宋" w:hAnsi="仿宋" w:eastAsia="仿宋" w:cs="仿宋_GB2312"/>
          <w:color w:val="auto"/>
          <w:sz w:val="32"/>
          <w:szCs w:val="32"/>
        </w:rPr>
        <w:t>。与上年相比增加（减少） 0 万元，增长（减少）0  %。主要原因是</w:t>
      </w:r>
      <w:r>
        <w:rPr>
          <w:rFonts w:hint="eastAsia" w:ascii="仿宋" w:hAnsi="仿宋" w:eastAsia="仿宋" w:cs="仿宋_GB2312"/>
          <w:color w:val="auto"/>
          <w:sz w:val="32"/>
          <w:szCs w:val="32"/>
          <w:lang w:eastAsia="zh-CN"/>
        </w:rPr>
        <w:t>无此项预算</w:t>
      </w:r>
      <w:r>
        <w:rPr>
          <w:rFonts w:hint="eastAsia" w:ascii="仿宋" w:hAnsi="仿宋" w:eastAsia="仿宋" w:cs="仿宋_GB2312"/>
          <w:color w:val="auto"/>
          <w:sz w:val="32"/>
          <w:szCs w:val="32"/>
        </w:rPr>
        <w:t>。</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3．结转下年资金预算数为 5.97 万元，主要原因是经费结余待支出。</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此外，基本支出预算数为616.97  万元。与上年相比增加27.41   万元，增长4.6 %。主要原因是人员工资增加。</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项目支出预算数为 556.98 万元。与上年相比增加554.93万元，增长27069 %。主要原因是西校区新建的项目支出增加。</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单位预留机动经费预算数为 0 万元。与上年相比增加（减少）  0  万元，增长（减少） 0  %。主要原因是</w:t>
      </w:r>
      <w:r>
        <w:rPr>
          <w:rFonts w:hint="eastAsia" w:ascii="仿宋" w:hAnsi="仿宋" w:eastAsia="仿宋" w:cs="仿宋_GB2312"/>
          <w:color w:val="auto"/>
          <w:sz w:val="32"/>
          <w:szCs w:val="32"/>
          <w:lang w:eastAsia="zh-CN"/>
        </w:rPr>
        <w:t>无此项预算</w:t>
      </w:r>
      <w:r>
        <w:rPr>
          <w:rFonts w:hint="eastAsia" w:ascii="仿宋" w:hAnsi="仿宋" w:eastAsia="仿宋" w:cs="仿宋_GB2312"/>
          <w:color w:val="auto"/>
          <w:sz w:val="32"/>
          <w:szCs w:val="32"/>
        </w:rPr>
        <w:t>。</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四、机关运行经费安排情况说明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本单位机关运行经费支出预算数为</w:t>
      </w:r>
      <w:r>
        <w:rPr>
          <w:rFonts w:hint="eastAsia" w:ascii="仿宋_GB2312" w:eastAsia="仿宋_GB2312" w:hAnsiTheme="minorEastAsia" w:cstheme="minorEastAsia"/>
          <w:color w:val="auto"/>
          <w:sz w:val="32"/>
          <w:szCs w:val="32"/>
          <w:lang w:val="en-US" w:eastAsia="zh-CN"/>
        </w:rPr>
        <w:t>97.25</w:t>
      </w:r>
      <w:r>
        <w:rPr>
          <w:rFonts w:hint="eastAsia" w:ascii="仿宋_GB2312" w:eastAsia="仿宋_GB2312" w:hAnsiTheme="minorEastAsia" w:cstheme="minorEastAsia"/>
          <w:color w:val="auto"/>
          <w:sz w:val="32"/>
          <w:szCs w:val="32"/>
        </w:rPr>
        <w:t>万元，较2019年增加</w:t>
      </w:r>
      <w:r>
        <w:rPr>
          <w:rFonts w:hint="eastAsia" w:ascii="仿宋_GB2312" w:eastAsia="仿宋_GB2312" w:hAnsiTheme="minorEastAsia" w:cstheme="minorEastAsia"/>
          <w:color w:val="auto"/>
          <w:sz w:val="32"/>
          <w:szCs w:val="32"/>
          <w:lang w:val="en-US" w:eastAsia="zh-CN"/>
        </w:rPr>
        <w:t>22.93</w:t>
      </w:r>
      <w:r>
        <w:rPr>
          <w:rFonts w:hint="eastAsia" w:ascii="仿宋_GB2312" w:eastAsia="仿宋_GB2312" w:hAnsiTheme="minorEastAsia" w:cstheme="minorEastAsia"/>
          <w:color w:val="auto"/>
          <w:sz w:val="32"/>
          <w:szCs w:val="32"/>
        </w:rPr>
        <w:t>万元，其中：</w:t>
      </w:r>
      <w:r>
        <w:rPr>
          <w:rFonts w:hint="eastAsia" w:ascii="仿宋_GB2312" w:eastAsia="仿宋_GB2312" w:hAnsiTheme="minorEastAsia" w:cstheme="minorEastAsia"/>
          <w:color w:val="auto"/>
          <w:sz w:val="32"/>
          <w:szCs w:val="32"/>
          <w:lang w:val="en-US" w:eastAsia="zh-CN"/>
        </w:rPr>
        <w:t>办公费22.47</w:t>
      </w:r>
      <w:r>
        <w:rPr>
          <w:rFonts w:hint="eastAsia" w:ascii="仿宋_GB2312" w:eastAsia="仿宋_GB2312" w:hAnsiTheme="minorEastAsia" w:cstheme="minorEastAsia"/>
          <w:color w:val="auto"/>
          <w:sz w:val="32"/>
          <w:szCs w:val="32"/>
        </w:rPr>
        <w:t xml:space="preserve">万元、印刷费支出 </w:t>
      </w:r>
      <w:r>
        <w:rPr>
          <w:rFonts w:hint="eastAsia" w:ascii="仿宋_GB2312" w:eastAsia="仿宋_GB2312" w:hAnsiTheme="minorEastAsia" w:cstheme="minorEastAsia"/>
          <w:color w:val="auto"/>
          <w:sz w:val="32"/>
          <w:szCs w:val="32"/>
          <w:lang w:val="en-US" w:eastAsia="zh-CN"/>
        </w:rPr>
        <w:t>1</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咨询费</w:t>
      </w:r>
      <w:r>
        <w:rPr>
          <w:rFonts w:hint="eastAsia" w:ascii="仿宋_GB2312" w:eastAsia="仿宋_GB2312" w:hAnsiTheme="minorEastAsia" w:cstheme="minorEastAsia"/>
          <w:color w:val="auto"/>
          <w:sz w:val="32"/>
          <w:szCs w:val="32"/>
          <w:lang w:val="en-US" w:eastAsia="zh-CN"/>
        </w:rPr>
        <w:t>1.25万元、水费1.8万元、电费1万元、邮电费0.8万元、取暖费0万元、手续费0.03万元、</w:t>
      </w:r>
      <w:r>
        <w:rPr>
          <w:rFonts w:hint="eastAsia" w:ascii="仿宋_GB2312" w:eastAsia="仿宋_GB2312" w:hAnsiTheme="minorEastAsia" w:cstheme="minorEastAsia"/>
          <w:color w:val="auto"/>
          <w:sz w:val="32"/>
          <w:szCs w:val="32"/>
        </w:rPr>
        <w:t>差旅费支出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 xml:space="preserve"> </w:t>
      </w:r>
      <w:r>
        <w:rPr>
          <w:rFonts w:hint="eastAsia" w:ascii="仿宋_GB2312" w:eastAsia="仿宋_GB2312" w:hAnsiTheme="minorEastAsia" w:cstheme="minorEastAsia"/>
          <w:color w:val="auto"/>
          <w:sz w:val="32"/>
          <w:szCs w:val="32"/>
          <w:lang w:val="en-US" w:eastAsia="zh-CN"/>
        </w:rPr>
        <w:t xml:space="preserve">.85 </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、维修费</w:t>
      </w:r>
      <w:r>
        <w:rPr>
          <w:rFonts w:hint="eastAsia" w:ascii="仿宋_GB2312" w:eastAsia="仿宋_GB2312" w:hAnsiTheme="minorEastAsia" w:cstheme="minorEastAsia"/>
          <w:color w:val="auto"/>
          <w:sz w:val="32"/>
          <w:szCs w:val="32"/>
          <w:lang w:val="en-US" w:eastAsia="zh-CN"/>
        </w:rPr>
        <w:t>8万元、租赁费0.1万元、会议费0.1万元、培训费3.37万元、公务接待费0.1万元、专用材料费0.1万元、劳务费6.05万元、委托业务费0.2万元、工会经费4.4万元、福利费3万元、其他交通费用0.5万元、其他商品和服务支出4.2万元、物业管理费6.95万元、资本性支出4.8万元</w:t>
      </w:r>
      <w:r>
        <w:rPr>
          <w:rFonts w:hint="eastAsia" w:ascii="仿宋_GB2312" w:eastAsia="仿宋_GB2312" w:hAnsiTheme="minorEastAsia" w:cstheme="minorEastAsia"/>
          <w:color w:val="auto"/>
          <w:sz w:val="32"/>
          <w:szCs w:val="32"/>
        </w:rPr>
        <w:t>。主要增减变化情况：</w:t>
      </w:r>
      <w:r>
        <w:rPr>
          <w:rFonts w:hint="eastAsia" w:ascii="仿宋_GB2312" w:eastAsia="仿宋_GB2312" w:hAnsiTheme="minorEastAsia" w:cstheme="minorEastAsia"/>
          <w:color w:val="auto"/>
          <w:sz w:val="32"/>
          <w:szCs w:val="32"/>
          <w:lang w:eastAsia="zh-CN"/>
        </w:rPr>
        <w:t>较上年学生人数增加</w:t>
      </w:r>
      <w:r>
        <w:rPr>
          <w:rFonts w:hint="eastAsia" w:ascii="仿宋_GB2312" w:eastAsia="仿宋_GB2312" w:hAnsiTheme="minorEastAsia" w:cstheme="minorEastAsia"/>
          <w:color w:val="auto"/>
          <w:sz w:val="32"/>
          <w:szCs w:val="32"/>
        </w:rPr>
        <w:t>。</w:t>
      </w:r>
    </w:p>
    <w:p>
      <w:pPr>
        <w:ind w:firstLine="640" w:firstLineChars="200"/>
        <w:rPr>
          <w:rFonts w:ascii="楷体" w:hAnsi="楷体" w:eastAsia="楷体" w:cstheme="minorEastAsia"/>
          <w:bCs/>
          <w:color w:val="auto"/>
          <w:sz w:val="32"/>
          <w:szCs w:val="32"/>
        </w:rPr>
      </w:pPr>
      <w:r>
        <w:rPr>
          <w:rFonts w:hint="eastAsia" w:ascii="仿宋_GB2312" w:eastAsia="仿宋_GB2312" w:hAnsiTheme="minorEastAsia" w:cstheme="minorEastAsia"/>
          <w:color w:val="auto"/>
          <w:sz w:val="32"/>
          <w:szCs w:val="32"/>
        </w:rPr>
        <w:t>五、</w:t>
      </w:r>
      <w:r>
        <w:rPr>
          <w:rFonts w:hint="eastAsia" w:ascii="楷体" w:hAnsi="楷体" w:eastAsia="楷体" w:cstheme="minorEastAsia"/>
          <w:bCs/>
          <w:color w:val="auto"/>
          <w:sz w:val="32"/>
          <w:szCs w:val="32"/>
        </w:rPr>
        <w:t>政府采购安排情况说明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本部门2020年度政府采购安排4.8万元，其中：政府采购货物支出4.8万元、政府采购工程支出0万元、政府采购服务支出0万元。授予中小企业合同金额0万元，占政府采购支出总额的0%。</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六、对专业性较强的名词进行解释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（一）财政拨款收入：指单位本年度从本级财政部门取得的财政拨款，包括一般公共预算财政拨款和政府性基金预算财政拨款。</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（二）上级补助收入：指事业单位从主管部门和上级单位取得的非财政补助收入。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（三）事业收入：指事业单位开展专业业务活动及其辅助活动取得的收入；事业单位收到的财政专户实际核拨的教育收费等资金在此反映。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（四）经营收入：指事业单位在专业业务活动及其辅助活动之外开展非独立核算经营活动取得的收入。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（五）附属单位缴款：指事业单位附属独立核算单位按照有关规定上缴的收入。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（六）其他收入：指单位取得的除上述“财政拨款收入”、“事业收入”、“经营收入”、“附属单位缴款”等以外的各项收入。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（七）用事业基金弥补收支差额：指事业单位用事业基金弥补当年收支差额的数额。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（八）年初结转和结余：指单位上年结转本年使用的基本支出结转、项目支出结转和结余和经营结余。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（九）结余分配：指事业单位按规定对非财政补助结余资金提取的职工福利基金、事业基金和缴纳的所得税，以及减少单位按规定应缴回的基本建设竣工项目结余资金。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（十一）基本支出：指为保障机构正常运转、完成日常工作任务而发生的人员支出和公用支出。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（十二）项目支出：指在基本支出之外为完成特定的行政任务或事业发展目标所发生的支出。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（十三）上缴上级支出：指事业单位按照财政部门和主管部门的规定上缴上级单位的支出。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（十四）经营支出：指事业单位在专业业务活动及其辅助活动之外开展非独立核算经营活动发生的支出。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（十五）对附属单位补助支出：指事业单位用财政补助收入之外的收入对附属单位补助发生的支出。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七、国有资产占用情况说明</w:t>
      </w:r>
    </w:p>
    <w:p>
      <w:pPr>
        <w:pStyle w:val="4"/>
        <w:widowControl/>
        <w:spacing w:before="150" w:beforeAutospacing="0" w:after="150" w:afterAutospacing="0" w:line="465" w:lineRule="atLeast"/>
        <w:ind w:firstLine="555"/>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截止2019年12月31日，本单位资产总额 1370.44万元，其中流动资产 19.54万元，固定资产 489.93万元，在建工程 936.8万元，无形资产 20.35万元。固定资产当中，房屋构筑物346.63 万元，汽车 0辆 0万元，单价200万元以上大型设备价值 0 万元，其他固定资产143.3万元。 </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与上年相比，本年资产总额减少2.21 万元。 </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八、重点项目预算的绩效目标等预算绩效情况说明</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我单位新校区2020年度西校区项目支出 134.76万元，其中：工程项目支出 100 万元，该项目前期费用支付34.76万元。</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2020年8月，该项目工程已经审计结束，审定金额为1706.33万元。2020年12月底止，工程前期费用支付98%；工程费用支付850万元，支付了总工程量的49.8%。</w:t>
      </w:r>
    </w:p>
    <w:p>
      <w:pPr>
        <w:ind w:firstLine="640" w:firstLineChars="200"/>
        <w:rPr>
          <w:rFonts w:hint="eastAsia" w:ascii="仿宋_GB2312" w:hAnsi="仿宋_GB2312" w:eastAsia="仿宋_GB2312" w:cs="仿宋_GB2312"/>
          <w:color w:val="auto"/>
          <w:sz w:val="32"/>
          <w:szCs w:val="32"/>
        </w:rPr>
      </w:pP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该项目绩效评价情况：</w:t>
      </w:r>
    </w:p>
    <w:p>
      <w:pPr>
        <w:numPr>
          <w:ilvl w:val="0"/>
          <w:numId w:val="1"/>
        </w:num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该工程进度已经完成100%，已按预期完成。</w:t>
      </w:r>
    </w:p>
    <w:p>
      <w:pPr>
        <w:numPr>
          <w:ilvl w:val="0"/>
          <w:numId w:val="1"/>
        </w:num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该工程竣工结束后于2020年8月审计结束，。</w:t>
      </w:r>
    </w:p>
    <w:p>
      <w:pPr>
        <w:numPr>
          <w:ilvl w:val="0"/>
          <w:numId w:val="1"/>
        </w:num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2019年3月-2019年9月，在所有工作人员的努力下，工程顺利竣工，时效性达100%。</w:t>
      </w:r>
    </w:p>
    <w:p>
      <w:pPr>
        <w:numPr>
          <w:ilvl w:val="0"/>
          <w:numId w:val="1"/>
        </w:num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工程竣工后，学生于2019年9月1日正式在新校区上课，极大地改善了我校学生多，教室少的状况，所有学生家长都很满意，赢得了很高的社会信誉。</w:t>
      </w:r>
    </w:p>
    <w:p>
      <w:pPr>
        <w:numPr>
          <w:ilvl w:val="0"/>
          <w:numId w:val="1"/>
        </w:num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新校区建成后，相应的配套设施正在配置，各个功能室将配置齐全，进一步地改善了办学条件，学生满意度100%。</w:t>
      </w:r>
    </w:p>
    <w:p>
      <w:pPr>
        <w:rPr>
          <w:rFonts w:ascii="楷体" w:hAnsi="楷体" w:eastAsia="楷体" w:cstheme="minorEastAsia"/>
          <w:bCs/>
          <w:color w:val="auto"/>
          <w:sz w:val="32"/>
          <w:szCs w:val="32"/>
        </w:rPr>
      </w:pPr>
      <w:r>
        <w:rPr>
          <w:rFonts w:hint="eastAsia" w:ascii="楷体" w:hAnsi="楷体" w:eastAsia="楷体" w:cstheme="minorEastAsia"/>
          <w:bCs/>
          <w:color w:val="auto"/>
          <w:sz w:val="32"/>
          <w:szCs w:val="32"/>
        </w:rPr>
        <w:t>九、一般公共预算“三公”经费支出增减变化原因等说明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本部门2020年度一般公共预算“三公”经费预算数为 0.1万元， ，较2019年减少 0.1万元，下降 50 %，其中：</w:t>
      </w:r>
    </w:p>
    <w:p>
      <w:pPr>
        <w:numPr>
          <w:ilvl w:val="0"/>
          <w:numId w:val="2"/>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因公出国（境）支出年初预算数为0万元，因公出国（境）团组数为0，人数为0。较2018年增加（减少）0万元，增长（下降）0%。</w:t>
      </w:r>
    </w:p>
    <w:p>
      <w:pPr>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（二）公务接待费支出年初预算数为 0.1万元，较2018年减少0 万元，下降 0%。主要原因是：专项活动减少。本年度国内公务接待共 0批次，共 0人。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2018年增加（减少）0万元，增长（下降）0%；公务用车运行维护费支出年初预算数为0万元，较2018年增加（减少）0万元，增长（下降）0%。本年度公务用车购置数0辆，公务用车保有量0辆。</w:t>
      </w:r>
    </w:p>
    <w:p>
      <w:pPr>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太行小学2020年政府性基金支出预算 0  万元。（或者：本单位本年度无此项预算，故无此项说明）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abstractNum w:abstractNumId="1">
    <w:nsid w:val="599468C1"/>
    <w:multiLevelType w:val="singleLevel"/>
    <w:tmpl w:val="599468C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8E87EB6"/>
    <w:rsid w:val="0001019D"/>
    <w:rsid w:val="000C1657"/>
    <w:rsid w:val="000C380E"/>
    <w:rsid w:val="000F1872"/>
    <w:rsid w:val="000F2BDA"/>
    <w:rsid w:val="001074AB"/>
    <w:rsid w:val="0011026C"/>
    <w:rsid w:val="00121209"/>
    <w:rsid w:val="001330DE"/>
    <w:rsid w:val="00134292"/>
    <w:rsid w:val="001C0185"/>
    <w:rsid w:val="001E732E"/>
    <w:rsid w:val="002A78F3"/>
    <w:rsid w:val="002B74C9"/>
    <w:rsid w:val="002E7D11"/>
    <w:rsid w:val="003343CB"/>
    <w:rsid w:val="00356142"/>
    <w:rsid w:val="003737FB"/>
    <w:rsid w:val="00377541"/>
    <w:rsid w:val="003B75A6"/>
    <w:rsid w:val="003D1774"/>
    <w:rsid w:val="00481790"/>
    <w:rsid w:val="005B26C8"/>
    <w:rsid w:val="005F2480"/>
    <w:rsid w:val="00643BE9"/>
    <w:rsid w:val="00696E76"/>
    <w:rsid w:val="006A18B5"/>
    <w:rsid w:val="00707CBA"/>
    <w:rsid w:val="00751A1A"/>
    <w:rsid w:val="00760ADC"/>
    <w:rsid w:val="007634B0"/>
    <w:rsid w:val="007F4D18"/>
    <w:rsid w:val="00835152"/>
    <w:rsid w:val="008524E1"/>
    <w:rsid w:val="00860624"/>
    <w:rsid w:val="008934C9"/>
    <w:rsid w:val="008C542A"/>
    <w:rsid w:val="008D5CA9"/>
    <w:rsid w:val="008E654D"/>
    <w:rsid w:val="00922ACA"/>
    <w:rsid w:val="009377B9"/>
    <w:rsid w:val="009436C0"/>
    <w:rsid w:val="00954257"/>
    <w:rsid w:val="0099156F"/>
    <w:rsid w:val="009B6471"/>
    <w:rsid w:val="009E5C7E"/>
    <w:rsid w:val="00A61D97"/>
    <w:rsid w:val="00A92970"/>
    <w:rsid w:val="00B11254"/>
    <w:rsid w:val="00B415F5"/>
    <w:rsid w:val="00B84099"/>
    <w:rsid w:val="00BB12E0"/>
    <w:rsid w:val="00BD5735"/>
    <w:rsid w:val="00BD7E57"/>
    <w:rsid w:val="00C32C39"/>
    <w:rsid w:val="00C91007"/>
    <w:rsid w:val="00CA596E"/>
    <w:rsid w:val="00CC30DB"/>
    <w:rsid w:val="00CF14FA"/>
    <w:rsid w:val="00D25442"/>
    <w:rsid w:val="00DE0D7A"/>
    <w:rsid w:val="00E74F60"/>
    <w:rsid w:val="00E7576E"/>
    <w:rsid w:val="00EA064A"/>
    <w:rsid w:val="00F1424B"/>
    <w:rsid w:val="00F56AB8"/>
    <w:rsid w:val="00FC082B"/>
    <w:rsid w:val="00FF2F08"/>
    <w:rsid w:val="014A06B6"/>
    <w:rsid w:val="01742A72"/>
    <w:rsid w:val="01DA336E"/>
    <w:rsid w:val="05E42E29"/>
    <w:rsid w:val="061E09E3"/>
    <w:rsid w:val="06A43BA7"/>
    <w:rsid w:val="087A6196"/>
    <w:rsid w:val="0BD114D5"/>
    <w:rsid w:val="0C5A5250"/>
    <w:rsid w:val="0C64513E"/>
    <w:rsid w:val="0DE649EC"/>
    <w:rsid w:val="0E0124A0"/>
    <w:rsid w:val="0EE25EB1"/>
    <w:rsid w:val="10CB3E8D"/>
    <w:rsid w:val="11F35FF2"/>
    <w:rsid w:val="179A58B8"/>
    <w:rsid w:val="1B4A6025"/>
    <w:rsid w:val="1DF453AF"/>
    <w:rsid w:val="1E107510"/>
    <w:rsid w:val="1E643EFE"/>
    <w:rsid w:val="209E0EC3"/>
    <w:rsid w:val="22140CC1"/>
    <w:rsid w:val="23935555"/>
    <w:rsid w:val="24D63713"/>
    <w:rsid w:val="2A937DAC"/>
    <w:rsid w:val="2DB60033"/>
    <w:rsid w:val="2F754CA8"/>
    <w:rsid w:val="2FB928F6"/>
    <w:rsid w:val="341824CB"/>
    <w:rsid w:val="343F3937"/>
    <w:rsid w:val="34D53928"/>
    <w:rsid w:val="36870474"/>
    <w:rsid w:val="37015ED3"/>
    <w:rsid w:val="39E01B38"/>
    <w:rsid w:val="3F5C42DA"/>
    <w:rsid w:val="43E475B8"/>
    <w:rsid w:val="458B37F5"/>
    <w:rsid w:val="45930F8D"/>
    <w:rsid w:val="467D2DBE"/>
    <w:rsid w:val="46C74799"/>
    <w:rsid w:val="48832669"/>
    <w:rsid w:val="48E87EB6"/>
    <w:rsid w:val="4A4F3891"/>
    <w:rsid w:val="4AFA4BB2"/>
    <w:rsid w:val="4D9B3CEE"/>
    <w:rsid w:val="4EBA5260"/>
    <w:rsid w:val="522F50B0"/>
    <w:rsid w:val="52567629"/>
    <w:rsid w:val="55B829B4"/>
    <w:rsid w:val="56F96AF5"/>
    <w:rsid w:val="582B68F4"/>
    <w:rsid w:val="5D083F24"/>
    <w:rsid w:val="5D306324"/>
    <w:rsid w:val="5E0B45F3"/>
    <w:rsid w:val="60860A87"/>
    <w:rsid w:val="60B46440"/>
    <w:rsid w:val="61C6166E"/>
    <w:rsid w:val="635C762A"/>
    <w:rsid w:val="699561F8"/>
    <w:rsid w:val="6FD93AE0"/>
    <w:rsid w:val="71715484"/>
    <w:rsid w:val="71FC58C7"/>
    <w:rsid w:val="7249546B"/>
    <w:rsid w:val="729C284D"/>
    <w:rsid w:val="729F0AAD"/>
    <w:rsid w:val="75F45C0F"/>
    <w:rsid w:val="7C7014AB"/>
    <w:rsid w:val="7E860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Char"/>
    <w:basedOn w:val="6"/>
    <w:link w:val="3"/>
    <w:qFormat/>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FE7DF8-170A-40DF-AD20-6BE9641F8CA0}">
  <ds:schemaRefs/>
</ds:datastoreItem>
</file>

<file path=docProps/app.xml><?xml version="1.0" encoding="utf-8"?>
<Properties xmlns="http://schemas.openxmlformats.org/officeDocument/2006/extended-properties" xmlns:vt="http://schemas.openxmlformats.org/officeDocument/2006/docPropsVTypes">
  <Template>Normal</Template>
  <Pages>8</Pages>
  <Words>2992</Words>
  <Characters>465</Characters>
  <Lines>3</Lines>
  <Paragraphs>6</Paragraphs>
  <TotalTime>2</TotalTime>
  <ScaleCrop>false</ScaleCrop>
  <LinksUpToDate>false</LinksUpToDate>
  <CharactersWithSpaces>3451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2021-06-05T10:38:09Z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