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襄垣县开元小学部门</w:t>
      </w:r>
    </w:p>
    <w:p>
      <w:pPr>
        <w:jc w:val="center"/>
        <w:rPr>
          <w:rFonts w:ascii="黑体" w:hAnsi="黑体" w:eastAsia="黑体" w:cstheme="minorEastAsia"/>
          <w:sz w:val="44"/>
          <w:szCs w:val="44"/>
        </w:rPr>
      </w:pPr>
      <w:r>
        <w:rPr>
          <w:rFonts w:hint="eastAsia" w:ascii="黑体" w:hAnsi="黑体" w:eastAsia="黑体" w:cstheme="minorEastAsia"/>
          <w:sz w:val="44"/>
          <w:szCs w:val="44"/>
        </w:rPr>
        <w:t>2020年部门预算公开情况说明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ascii="楷体" w:hAnsi="楷体" w:eastAsia="楷体" w:cstheme="minorEastAsia"/>
          <w:b/>
          <w:sz w:val="32"/>
          <w:szCs w:val="32"/>
        </w:rPr>
      </w:pPr>
      <w:r>
        <w:rPr>
          <w:rFonts w:hint="eastAsia" w:ascii="楷体" w:hAnsi="楷体" w:eastAsia="楷体" w:cstheme="minorEastAsia"/>
          <w:b/>
          <w:sz w:val="32"/>
          <w:szCs w:val="32"/>
        </w:rPr>
        <w:t>一、部门主要职能</w:t>
      </w:r>
    </w:p>
    <w:p>
      <w:pPr>
        <w:ind w:firstLine="537" w:firstLineChars="168"/>
        <w:rPr>
          <w:rFonts w:ascii="仿宋" w:hAnsi="仿宋" w:eastAsia="仿宋" w:cs="仿宋"/>
          <w:sz w:val="32"/>
          <w:szCs w:val="32"/>
          <w:lang w:bidi="ar"/>
        </w:rPr>
      </w:pPr>
      <w:r>
        <w:rPr>
          <w:rFonts w:hint="eastAsia" w:ascii="仿宋" w:hAnsi="仿宋" w:eastAsia="仿宋" w:cs="仿宋"/>
          <w:sz w:val="32"/>
          <w:szCs w:val="32"/>
          <w:lang w:bidi="ar"/>
        </w:rPr>
        <w:t>（一）全面贯彻执行党和国家的教育方针、政策、法规，自觉抵制各种违反教育方针、政策、法规的倾向，实施素质教育。坚持社会主义办学方向，努力培养德、智、体全面发展的社会主义事业的建设者和接班人。按教育规律办学，不断提高教育质量全面贯彻党的教育方针。严格执行新课程标准，坚持教书育人、管理育人、服务育人。搞好学校财产和师生的人生安全工作，为师生创造安全、温馨、和谐的工作和学习环境。</w:t>
      </w:r>
    </w:p>
    <w:p>
      <w:pPr>
        <w:ind w:firstLine="537" w:firstLineChars="168"/>
        <w:rPr>
          <w:rFonts w:ascii="仿宋" w:hAnsi="仿宋" w:eastAsia="仿宋" w:cs="仿宋"/>
          <w:sz w:val="32"/>
          <w:szCs w:val="32"/>
          <w:lang w:bidi="ar"/>
        </w:rPr>
      </w:pPr>
      <w:r>
        <w:rPr>
          <w:rFonts w:hint="eastAsia" w:ascii="仿宋" w:hAnsi="仿宋" w:eastAsia="仿宋" w:cs="仿宋"/>
          <w:sz w:val="32"/>
          <w:szCs w:val="32"/>
          <w:lang w:bidi="ar"/>
        </w:rPr>
        <w:t>（二）严格贯彻执行国家财政、财务，会计管理以及行政事业单位国有资产管理的法律、法规及各项方针政策，执行全县财政、财务、会计管理及行政事业单位国有资产管理等基础管理规章制度。</w:t>
      </w:r>
    </w:p>
    <w:p>
      <w:pPr>
        <w:ind w:firstLine="537" w:firstLineChars="168"/>
        <w:rPr>
          <w:rFonts w:ascii="仿宋" w:hAnsi="仿宋" w:eastAsia="仿宋" w:cs="仿宋"/>
          <w:sz w:val="32"/>
          <w:szCs w:val="32"/>
          <w:lang w:bidi="ar"/>
        </w:rPr>
      </w:pPr>
      <w:r>
        <w:rPr>
          <w:rFonts w:hint="eastAsia" w:ascii="仿宋" w:hAnsi="仿宋" w:eastAsia="仿宋" w:cs="仿宋"/>
          <w:sz w:val="32"/>
          <w:szCs w:val="32"/>
          <w:lang w:bidi="ar"/>
        </w:rPr>
        <w:t>（三）编制本单位年度预决算草案并严格执行；并向上级主管部门和县财政局申报草案，由主管部门向财政局及县人民代表大会报告预算及其执行情况且向县人大常委会报告决算；深化部门预算改革，组织制定经费开支标准、定额，负责审核本单位的年度预决算.</w:t>
      </w:r>
    </w:p>
    <w:p>
      <w:pPr>
        <w:ind w:firstLine="537" w:firstLineChars="168"/>
        <w:rPr>
          <w:rFonts w:ascii="仿宋" w:hAnsi="仿宋" w:eastAsia="仿宋" w:cs="仿宋"/>
          <w:sz w:val="32"/>
          <w:szCs w:val="32"/>
          <w:lang w:bidi="ar"/>
        </w:rPr>
      </w:pPr>
      <w:r>
        <w:rPr>
          <w:rFonts w:hint="eastAsia" w:ascii="仿宋" w:hAnsi="仿宋" w:eastAsia="仿宋" w:cs="仿宋"/>
          <w:sz w:val="32"/>
          <w:szCs w:val="32"/>
          <w:lang w:bidi="ar"/>
        </w:rPr>
        <w:t>（四）确定本单位年度收入计划。</w:t>
      </w:r>
    </w:p>
    <w:p>
      <w:pPr>
        <w:ind w:firstLine="537" w:firstLineChars="168"/>
        <w:rPr>
          <w:rFonts w:ascii="仿宋" w:hAnsi="仿宋" w:eastAsia="仿宋" w:cs="仿宋"/>
          <w:sz w:val="32"/>
          <w:szCs w:val="32"/>
          <w:lang w:bidi="ar"/>
        </w:rPr>
      </w:pPr>
      <w:r>
        <w:rPr>
          <w:rFonts w:hint="eastAsia" w:ascii="仿宋" w:hAnsi="仿宋" w:eastAsia="仿宋" w:cs="仿宋"/>
          <w:sz w:val="32"/>
          <w:szCs w:val="32"/>
          <w:lang w:bidi="ar"/>
        </w:rPr>
        <w:t>（五）严格贯彻执行县国库管理制度、国库集中支付制度，负责审核和编制本单位预算和部门决算。</w:t>
      </w:r>
    </w:p>
    <w:p>
      <w:pPr>
        <w:ind w:firstLine="537" w:firstLineChars="168"/>
        <w:rPr>
          <w:rFonts w:ascii="仿宋" w:hAnsi="仿宋" w:eastAsia="仿宋" w:cs="仿宋"/>
          <w:sz w:val="32"/>
          <w:szCs w:val="32"/>
          <w:lang w:bidi="ar"/>
        </w:rPr>
      </w:pPr>
      <w:r>
        <w:rPr>
          <w:rFonts w:hint="eastAsia" w:ascii="仿宋" w:hAnsi="仿宋" w:eastAsia="仿宋" w:cs="仿宋"/>
          <w:sz w:val="32"/>
          <w:szCs w:val="32"/>
          <w:lang w:bidi="ar"/>
        </w:rPr>
        <w:t>（六）贯彻执行国家有关政府采购的政策，负责本单位采购工作；严格执行国家规定的开支标准和支出政策，制定本单位开支标准和支出政策。</w:t>
      </w:r>
    </w:p>
    <w:p>
      <w:pPr>
        <w:ind w:firstLine="537" w:firstLineChars="168"/>
        <w:rPr>
          <w:rFonts w:ascii="仿宋" w:hAnsi="仿宋" w:eastAsia="仿宋" w:cs="仿宋"/>
          <w:sz w:val="32"/>
          <w:szCs w:val="32"/>
          <w:lang w:bidi="ar"/>
        </w:rPr>
      </w:pPr>
      <w:r>
        <w:rPr>
          <w:rFonts w:hint="eastAsia" w:ascii="仿宋" w:hAnsi="仿宋" w:eastAsia="仿宋" w:cs="仿宋"/>
          <w:sz w:val="32"/>
          <w:szCs w:val="32"/>
          <w:lang w:bidi="ar"/>
        </w:rPr>
        <w:t>（七）负责制定并实施本单位关于资产管理的具体制度并执行。</w:t>
      </w:r>
    </w:p>
    <w:p>
      <w:pPr>
        <w:ind w:firstLine="537" w:firstLineChars="168"/>
        <w:rPr>
          <w:rFonts w:ascii="仿宋" w:hAnsi="仿宋" w:eastAsia="仿宋" w:cs="仿宋"/>
          <w:sz w:val="32"/>
          <w:szCs w:val="32"/>
          <w:lang w:bidi="ar"/>
        </w:rPr>
      </w:pPr>
      <w:r>
        <w:rPr>
          <w:rFonts w:hint="eastAsia" w:ascii="仿宋" w:hAnsi="仿宋" w:eastAsia="仿宋" w:cs="仿宋"/>
          <w:sz w:val="32"/>
          <w:szCs w:val="32"/>
          <w:lang w:bidi="ar"/>
        </w:rPr>
        <w:t>（八）执行县级政府性投资项目的财政拨款。</w:t>
      </w:r>
    </w:p>
    <w:p>
      <w:pPr>
        <w:ind w:firstLine="537" w:firstLineChars="168"/>
        <w:rPr>
          <w:rFonts w:ascii="仿宋" w:hAnsi="仿宋" w:eastAsia="仿宋" w:cs="仿宋"/>
          <w:sz w:val="32"/>
          <w:szCs w:val="32"/>
          <w:lang w:bidi="ar"/>
        </w:rPr>
      </w:pPr>
      <w:r>
        <w:rPr>
          <w:rFonts w:hint="eastAsia" w:ascii="仿宋" w:hAnsi="仿宋" w:eastAsia="仿宋" w:cs="仿宋"/>
          <w:sz w:val="32"/>
          <w:szCs w:val="32"/>
          <w:lang w:bidi="ar"/>
        </w:rPr>
        <w:t>（九）拟定本单位保障资金的财务管理制度且严格执行。</w:t>
      </w:r>
    </w:p>
    <w:p>
      <w:pPr>
        <w:ind w:firstLine="537" w:firstLineChars="168"/>
        <w:rPr>
          <w:rFonts w:ascii="仿宋" w:hAnsi="仿宋" w:eastAsia="仿宋" w:cs="仿宋"/>
          <w:sz w:val="32"/>
          <w:szCs w:val="32"/>
          <w:lang w:bidi="ar"/>
        </w:rPr>
      </w:pPr>
      <w:r>
        <w:rPr>
          <w:rFonts w:hint="eastAsia" w:ascii="仿宋" w:hAnsi="仿宋" w:eastAsia="仿宋" w:cs="仿宋"/>
          <w:sz w:val="32"/>
          <w:szCs w:val="32"/>
          <w:lang w:bidi="ar"/>
        </w:rPr>
        <w:t>（十）贯彻执行国家关于国内债务和政府外债管理的各项方针、政策、规章制度和管理办法。</w:t>
      </w:r>
    </w:p>
    <w:p>
      <w:pPr>
        <w:ind w:firstLine="537" w:firstLineChars="168"/>
        <w:rPr>
          <w:rFonts w:ascii="仿宋" w:hAnsi="仿宋" w:eastAsia="仿宋" w:cs="仿宋"/>
          <w:sz w:val="32"/>
          <w:szCs w:val="32"/>
          <w:lang w:bidi="ar"/>
        </w:rPr>
      </w:pPr>
      <w:r>
        <w:rPr>
          <w:rFonts w:hint="eastAsia" w:ascii="仿宋" w:hAnsi="仿宋" w:eastAsia="仿宋" w:cs="仿宋"/>
          <w:sz w:val="32"/>
          <w:szCs w:val="32"/>
          <w:lang w:bidi="ar"/>
        </w:rPr>
        <w:t>（十一）贯彻国家会计法规、准则和制度；服从县财政局对本单位会计人员的一切培训和学习计划。</w:t>
      </w:r>
    </w:p>
    <w:p>
      <w:pPr>
        <w:ind w:firstLine="537" w:firstLineChars="168"/>
        <w:rPr>
          <w:rFonts w:ascii="仿宋" w:hAnsi="仿宋" w:eastAsia="仿宋" w:cs="仿宋"/>
          <w:sz w:val="32"/>
          <w:szCs w:val="32"/>
          <w:lang w:bidi="ar"/>
        </w:rPr>
      </w:pPr>
      <w:r>
        <w:rPr>
          <w:rFonts w:hint="eastAsia" w:ascii="仿宋" w:hAnsi="仿宋" w:eastAsia="仿宋" w:cs="仿宋"/>
          <w:sz w:val="32"/>
          <w:szCs w:val="32"/>
          <w:lang w:bidi="ar"/>
        </w:rPr>
        <w:t>（十二）执行财税方针、政策、法律、法规，及时发现收支管理中的问题；提高服务水平。</w:t>
      </w:r>
    </w:p>
    <w:p>
      <w:pPr>
        <w:ind w:firstLine="537" w:firstLineChars="168"/>
        <w:rPr>
          <w:rFonts w:ascii="仿宋" w:hAnsi="仿宋" w:eastAsia="仿宋" w:cs="仿宋"/>
          <w:sz w:val="32"/>
          <w:szCs w:val="32"/>
          <w:lang w:bidi="ar"/>
        </w:rPr>
      </w:pPr>
      <w:r>
        <w:rPr>
          <w:rFonts w:hint="eastAsia" w:ascii="仿宋" w:hAnsi="仿宋" w:eastAsia="仿宋" w:cs="仿宋"/>
          <w:sz w:val="32"/>
          <w:szCs w:val="32"/>
          <w:lang w:bidi="ar"/>
        </w:rPr>
        <w:t>（十三）本单位严格贯彻执行国家财政、税收、宏观经济等各项方针政策，执行全县财政、税收的发展战略、方针政策、中长期规划、改革方案及其它有关政策；认真执行上级部门提出运用财税政策，实施宏观调控和综合平衡社会财力的建议。</w:t>
      </w:r>
    </w:p>
    <w:p>
      <w:pPr>
        <w:rPr>
          <w:rFonts w:ascii="仿宋" w:hAnsi="仿宋" w:eastAsia="仿宋" w:cs="仿宋_GB2312"/>
          <w:sz w:val="30"/>
          <w:szCs w:val="30"/>
          <w:lang w:bidi="ar"/>
        </w:rPr>
      </w:pPr>
    </w:p>
    <w:p>
      <w:pPr>
        <w:numPr>
          <w:ilvl w:val="0"/>
          <w:numId w:val="1"/>
        </w:numPr>
        <w:ind w:firstLine="643" w:firstLineChars="200"/>
        <w:rPr>
          <w:rFonts w:ascii="楷体" w:hAnsi="楷体" w:eastAsia="楷体" w:cstheme="minorEastAsia"/>
          <w:b/>
          <w:sz w:val="32"/>
          <w:szCs w:val="32"/>
        </w:rPr>
      </w:pPr>
      <w:r>
        <w:rPr>
          <w:rFonts w:hint="eastAsia" w:ascii="楷体" w:hAnsi="楷体" w:eastAsia="楷体" w:cstheme="minorEastAsia"/>
          <w:b/>
          <w:sz w:val="32"/>
          <w:szCs w:val="32"/>
        </w:rPr>
        <w:t>部门基本情况</w:t>
      </w:r>
    </w:p>
    <w:p>
      <w:pPr>
        <w:ind w:firstLine="645"/>
        <w:rPr>
          <w:rFonts w:ascii="仿宋_GB2312" w:hAnsi="仿宋" w:eastAsia="仿宋_GB2312" w:cstheme="minorEastAsia"/>
          <w:sz w:val="32"/>
          <w:szCs w:val="32"/>
        </w:rPr>
      </w:pPr>
      <w:r>
        <w:rPr>
          <w:rFonts w:hint="eastAsia" w:ascii="仿宋" w:hAnsi="仿宋" w:eastAsia="仿宋" w:cs="仿宋_GB2312"/>
          <w:sz w:val="30"/>
          <w:szCs w:val="30"/>
          <w:lang w:bidi="ar"/>
        </w:rPr>
        <w:t>襄垣县开元小学内设8个职能股室、中心，职能股室、中心分别为：办公室、教务处、教研室、政教处、后勤处、党办、工会、综治办、</w:t>
      </w:r>
    </w:p>
    <w:p>
      <w:pPr>
        <w:widowControl/>
        <w:spacing w:line="324" w:lineRule="atLeast"/>
        <w:ind w:left="540"/>
        <w:jc w:val="left"/>
        <w:rPr>
          <w:rFonts w:ascii="仿宋_GB2312" w:hAnsi="楷体" w:eastAsia="仿宋_GB2312" w:cs="宋体"/>
          <w:bCs/>
          <w:kern w:val="0"/>
          <w:sz w:val="32"/>
          <w:szCs w:val="32"/>
        </w:rPr>
      </w:pPr>
      <w:r>
        <w:rPr>
          <w:rFonts w:hint="eastAsia" w:ascii="仿宋_GB2312" w:hAnsi="楷体" w:eastAsia="仿宋_GB2312" w:cs="宋体"/>
          <w:bCs/>
          <w:kern w:val="0"/>
          <w:sz w:val="32"/>
          <w:szCs w:val="32"/>
        </w:rPr>
        <w:t>（二）人员情况说明</w:t>
      </w:r>
    </w:p>
    <w:p>
      <w:pPr>
        <w:ind w:firstLine="640" w:firstLineChars="200"/>
        <w:rPr>
          <w:rFonts w:ascii="楷体" w:hAnsi="楷体" w:eastAsia="楷体" w:cstheme="minorEastAsia"/>
          <w:b/>
          <w:sz w:val="32"/>
          <w:szCs w:val="32"/>
        </w:rPr>
      </w:pPr>
      <w:r>
        <w:rPr>
          <w:rFonts w:hint="eastAsia" w:ascii="仿宋" w:hAnsi="仿宋" w:eastAsia="仿宋" w:cs="仿宋_GB2312"/>
          <w:sz w:val="32"/>
          <w:szCs w:val="32"/>
          <w:lang w:bidi="ar"/>
        </w:rPr>
        <w:t>现有事业编制82名，实有76人，其中专业技术人员75名，工勤人员1人。</w:t>
      </w:r>
    </w:p>
    <w:p>
      <w:pPr>
        <w:ind w:firstLine="640" w:firstLineChars="200"/>
        <w:rPr>
          <w:rFonts w:ascii="黑体" w:hAnsi="黑体" w:eastAsia="黑体" w:cstheme="minorEastAsia"/>
          <w:sz w:val="32"/>
          <w:szCs w:val="32"/>
        </w:rPr>
      </w:pPr>
      <w:r>
        <w:rPr>
          <w:rFonts w:hint="eastAsia" w:ascii="黑体" w:hAnsi="黑体" w:eastAsia="黑体" w:cstheme="minorEastAsia"/>
          <w:sz w:val="32"/>
          <w:szCs w:val="32"/>
        </w:rPr>
        <w:t>三、预算收支增减变化情况说明</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襄垣县2020年度收入、支出预算总计 954.86 万元，与上年相比收、支预算总计各增加75.63万元，增长8.6 %。主要原因是人员增加。</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（一）收入预算总计954.86万元。包括：上年结转25.19</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1．财政拨款收入预算总计954.86万元。</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（1）一般公共预算收入预算931.67万元，与上年相比增加62.31万元，增长7.16%。主要原因是工资正常增长。</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（2）政府性基金收入预算 0万元，与上年相比增加（减少0万元，增长（减少）0%。</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2．财政专户管理资金收入预算总计0万元。与上年相比增加（减少）0万元，增长（减少）0%。</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3．其他资金收入预算总计0万元。与上年相比增加（减少）0万元，增长（减少）0 %。</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4．上年结转资金预算数为23.19万元。与上年相比增加13.32万元，增长134.95%。</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（二）支出预算总计931.67万元。包括：</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1．一般公共服务（类）支出931.67万元，主要用于人员工资和学校日常开销。与上年相比增加65.18万元，增长7.52%。主要原因是人员增加。</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2．公共安全（类）支出 0万元，主3．结转下年资金预算数为23.19万元。</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此外，基本支出预算数为931.67万元。与上年相比增加62.31万元，增长7.16%。主要原因是人员增加。</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 xml:space="preserve">项目支出预算数为 0万元。与上年相比（减少）2.87 </w:t>
      </w:r>
    </w:p>
    <w:p>
      <w:pPr>
        <w:rPr>
          <w:rFonts w:ascii="仿宋" w:hAnsi="仿宋" w:eastAsia="仿宋" w:cs="仿宋_GB2312"/>
          <w:sz w:val="32"/>
          <w:szCs w:val="32"/>
          <w:lang w:bidi="ar"/>
        </w:rPr>
      </w:pPr>
      <w:r>
        <w:rPr>
          <w:rFonts w:hint="eastAsia" w:ascii="仿宋" w:hAnsi="仿宋" w:eastAsia="仿宋" w:cs="仿宋_GB2312"/>
          <w:sz w:val="32"/>
          <w:szCs w:val="32"/>
          <w:lang w:bidi="ar"/>
        </w:rPr>
        <w:t>万元，增长-100%。主要原因是项目增加。</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四、机关运行经费安排情况说明</w:t>
      </w:r>
    </w:p>
    <w:p>
      <w:pPr>
        <w:ind w:firstLine="640" w:firstLineChars="200"/>
        <w:rPr>
          <w:rFonts w:hint="default"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rPr>
        <w:t xml:space="preserve">本单位机关运行经费支出预算数为 </w:t>
      </w:r>
      <w:r>
        <w:rPr>
          <w:rFonts w:hint="eastAsia" w:ascii="仿宋_GB2312" w:eastAsia="仿宋_GB2312" w:hAnsiTheme="minorEastAsia" w:cstheme="minorEastAsia"/>
          <w:sz w:val="32"/>
          <w:szCs w:val="32"/>
          <w:lang w:val="en-US" w:eastAsia="zh-CN"/>
        </w:rPr>
        <w:t>134.55</w:t>
      </w:r>
      <w:r>
        <w:rPr>
          <w:rFonts w:hint="eastAsia" w:ascii="仿宋_GB2312" w:eastAsia="仿宋_GB2312" w:hAnsiTheme="minorEastAsia" w:cstheme="minorEastAsia"/>
          <w:sz w:val="32"/>
          <w:szCs w:val="32"/>
        </w:rPr>
        <w:t>万元，较2019年增加</w:t>
      </w:r>
      <w:r>
        <w:rPr>
          <w:rFonts w:hint="eastAsia" w:ascii="仿宋_GB2312" w:eastAsia="仿宋_GB2312" w:hAnsiTheme="minorEastAsia" w:cstheme="minorEastAsia"/>
          <w:sz w:val="32"/>
          <w:szCs w:val="32"/>
          <w:lang w:val="en-US" w:eastAsia="zh-CN"/>
        </w:rPr>
        <w:t>5</w:t>
      </w:r>
      <w:r>
        <w:rPr>
          <w:rFonts w:hint="eastAsia" w:ascii="仿宋_GB2312" w:eastAsia="仿宋_GB2312" w:hAnsiTheme="minorEastAsia" w:cstheme="minorEastAsia"/>
          <w:sz w:val="32"/>
          <w:szCs w:val="32"/>
        </w:rPr>
        <w:t xml:space="preserve">万元，其中：办公费支出 </w:t>
      </w:r>
      <w:r>
        <w:rPr>
          <w:rFonts w:hint="eastAsia" w:ascii="仿宋_GB2312" w:eastAsia="仿宋_GB2312" w:hAnsiTheme="minorEastAsia" w:cstheme="minorEastAsia"/>
          <w:sz w:val="32"/>
          <w:szCs w:val="32"/>
          <w:lang w:val="en-US" w:eastAsia="zh-CN"/>
        </w:rPr>
        <w:t>20</w:t>
      </w:r>
      <w:r>
        <w:rPr>
          <w:rFonts w:hint="eastAsia" w:ascii="仿宋_GB2312" w:eastAsia="仿宋_GB2312" w:hAnsiTheme="minorEastAsia" w:cstheme="minorEastAsia"/>
          <w:sz w:val="32"/>
          <w:szCs w:val="32"/>
        </w:rPr>
        <w:t xml:space="preserve">万元、印刷费支出 </w:t>
      </w:r>
      <w:r>
        <w:rPr>
          <w:rFonts w:hint="eastAsia" w:ascii="仿宋_GB2312" w:eastAsia="仿宋_GB2312" w:hAnsiTheme="minorEastAsia" w:cstheme="minorEastAsia"/>
          <w:sz w:val="32"/>
          <w:szCs w:val="32"/>
          <w:lang w:val="en-US" w:eastAsia="zh-CN"/>
        </w:rPr>
        <w:t>5</w:t>
      </w:r>
      <w:r>
        <w:rPr>
          <w:rFonts w:hint="eastAsia" w:ascii="仿宋_GB2312" w:eastAsia="仿宋_GB2312" w:hAnsiTheme="minorEastAsia" w:cstheme="minorEastAsia"/>
          <w:sz w:val="32"/>
          <w:szCs w:val="32"/>
        </w:rPr>
        <w:t>万元、</w:t>
      </w:r>
      <w:r>
        <w:rPr>
          <w:rFonts w:hint="eastAsia" w:ascii="仿宋_GB2312" w:eastAsia="仿宋_GB2312" w:hAnsiTheme="minorEastAsia" w:cstheme="minorEastAsia"/>
          <w:sz w:val="32"/>
          <w:szCs w:val="32"/>
          <w:lang w:val="en-US" w:eastAsia="zh-CN"/>
        </w:rPr>
        <w:t>咨询费2.5万、水费2万、电费4万、邮电费1.5万、取暖费34.756</w:t>
      </w:r>
      <w:bookmarkStart w:id="0" w:name="_GoBack"/>
      <w:bookmarkEnd w:id="0"/>
      <w:r>
        <w:rPr>
          <w:rFonts w:hint="eastAsia" w:ascii="仿宋_GB2312" w:eastAsia="仿宋_GB2312" w:hAnsiTheme="minorEastAsia" w:cstheme="minorEastAsia"/>
          <w:sz w:val="32"/>
          <w:szCs w:val="32"/>
          <w:lang w:val="en-US" w:eastAsia="zh-CN"/>
        </w:rPr>
        <w:t>万、</w:t>
      </w:r>
      <w:r>
        <w:rPr>
          <w:rFonts w:hint="eastAsia" w:ascii="仿宋_GB2312" w:eastAsia="仿宋_GB2312" w:hAnsiTheme="minorEastAsia" w:cstheme="minorEastAsia"/>
          <w:sz w:val="32"/>
          <w:szCs w:val="32"/>
        </w:rPr>
        <w:t xml:space="preserve">差旅费支出 </w:t>
      </w:r>
      <w:r>
        <w:rPr>
          <w:rFonts w:hint="eastAsia" w:ascii="仿宋_GB2312" w:eastAsia="仿宋_GB2312" w:hAnsiTheme="minorEastAsia" w:cstheme="minorEastAsia"/>
          <w:sz w:val="32"/>
          <w:szCs w:val="32"/>
          <w:lang w:val="en-US" w:eastAsia="zh-CN"/>
        </w:rPr>
        <w:t>2</w:t>
      </w:r>
      <w:r>
        <w:rPr>
          <w:rFonts w:hint="eastAsia" w:ascii="仿宋_GB2312" w:eastAsia="仿宋_GB2312" w:hAnsiTheme="minorEastAsia" w:cstheme="minorEastAsia"/>
          <w:sz w:val="32"/>
          <w:szCs w:val="32"/>
        </w:rPr>
        <w:t xml:space="preserve"> 万元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lang w:val="en-US" w:eastAsia="zh-CN"/>
        </w:rPr>
        <w:t>维修费20万、会议费1万、培训费4.62万、公务接待费0.5万、劳务费18万、工会经费6.2万、福利费3.5万、其他交通费1万、其他商品和服务支出12.67万</w:t>
      </w:r>
      <w:r>
        <w:rPr>
          <w:rFonts w:hint="eastAsia" w:ascii="仿宋_GB2312" w:eastAsia="仿宋_GB2312" w:hAnsiTheme="minorEastAsia" w:cstheme="minorEastAsia"/>
          <w:sz w:val="32"/>
          <w:szCs w:val="32"/>
        </w:rPr>
        <w:t>等。</w:t>
      </w:r>
      <w:r>
        <w:rPr>
          <w:rFonts w:hint="eastAsia" w:ascii="仿宋_GB2312" w:eastAsia="仿宋_GB2312" w:hAnsiTheme="minorEastAsia" w:cstheme="minorEastAsia"/>
          <w:sz w:val="32"/>
          <w:szCs w:val="32"/>
          <w:lang w:val="en-US" w:eastAsia="zh-CN"/>
        </w:rPr>
        <w:t>主要增加变动情况办公费减少2万，维修费增加4万，劳务费增加2万。</w:t>
      </w:r>
    </w:p>
    <w:p>
      <w:pPr>
        <w:ind w:firstLine="640" w:firstLineChars="200"/>
        <w:rPr>
          <w:rFonts w:ascii="楷体" w:hAnsi="楷体" w:eastAsia="楷体" w:cstheme="minorEastAsia"/>
          <w:bCs/>
          <w:sz w:val="32"/>
          <w:szCs w:val="32"/>
        </w:rPr>
      </w:pPr>
      <w:r>
        <w:rPr>
          <w:rFonts w:hint="eastAsia" w:ascii="仿宋_GB2312" w:eastAsia="仿宋_GB2312" w:hAnsiTheme="minorEastAsia" w:cstheme="minorEastAsia"/>
          <w:sz w:val="32"/>
          <w:szCs w:val="32"/>
        </w:rPr>
        <w:t>五、</w:t>
      </w:r>
      <w:r>
        <w:rPr>
          <w:rFonts w:hint="eastAsia" w:ascii="楷体" w:hAnsi="楷体" w:eastAsia="楷体" w:cstheme="minorEastAsia"/>
          <w:bCs/>
          <w:sz w:val="32"/>
          <w:szCs w:val="32"/>
        </w:rPr>
        <w:t>政府采购安排情况说明</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本部门2020年度政府采购安排12.15万元，其中：政府采购货物支出12.15万元、政府采购工程支出0万元、政府采购服务支出0万元。授予中小企业合同金额0万元，占政府采购支出总额的0%。</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六、对专业性较强的名词进行解释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（一）财政拨款收入：指单位本年度从本级财政部门取得的财政拨款，包括一般公共预算财政拨款和政府性基金预算财政拨款。</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（二）上级补助收入：指事业单位从主管部门和上级单位取得的非财政补助收入。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（四）经营收入：指事业单位在专业业务活动及其辅助活动之外开展非独立核算经营活动取得的收入。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（五）附属单位缴款：指事业单位附属独立核算单位按照有关规定上缴的收入。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（六）其他收入：指单位取得的除上述“财政拨款收入”、“事业收入”、“经营收入”、“附属单位缴款”等以外的各项收入。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（七）用事业基金弥补收支差额：指事业单位用事业基金弥补当年收支差额的数额。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（八）年初结转和结余：指单位上年结转本年使用的基本支出结转、项目支出结转和结余和经营结余。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（十一）基本支出：指为保障机构正常运转、完成日常工作任务而发生的人员支出和公用支出。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（十二）项目支出：指在基本支出之外为完成特定的行政任务或事业发展目标所发生的支出。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（十三）上缴上级支出：指事业单位按照财政部门和主管部门的规定上缴上级单位的支出。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（十四）经营支出：指事业单位在专业业务活动及其辅助活动之外开展非独立核算经营活动发生的支出。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（十五）对附属单位补助支出：指事业单位用财政补助收入之外的收入对附属单位补助发生的支出。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七、国有资产占用情况说明</w:t>
      </w:r>
    </w:p>
    <w:p>
      <w:pPr>
        <w:pStyle w:val="4"/>
        <w:widowControl/>
        <w:spacing w:before="150" w:beforeAutospacing="0" w:after="150" w:afterAutospacing="0" w:line="465" w:lineRule="atLeast"/>
        <w:ind w:firstLine="555"/>
        <w:jc w:val="both"/>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截止2019年12月31日，本单位资产总额1270.42万元，其中流动资产28.59万元，固定资产1370.25万元，在建工程15.31万元，无形资产0万元。固定资产当中，房屋构筑物1066.25万元，单价200万元以上大型设备无，其他固定资产244万元。 </w:t>
      </w:r>
    </w:p>
    <w:p>
      <w:pPr>
        <w:pStyle w:val="4"/>
        <w:widowControl/>
        <w:spacing w:before="150" w:beforeAutospacing="0" w:after="150" w:afterAutospacing="0" w:line="465" w:lineRule="atLeast"/>
        <w:ind w:firstLine="555"/>
        <w:jc w:val="both"/>
        <w:rPr>
          <w:rFonts w:ascii="楷体" w:hAnsi="楷体" w:eastAsia="楷体" w:cstheme="minorEastAsia"/>
          <w:bCs/>
          <w:sz w:val="32"/>
          <w:szCs w:val="32"/>
        </w:rPr>
      </w:pPr>
      <w:r>
        <w:rPr>
          <w:rFonts w:hint="eastAsia" w:ascii="仿宋_GB2312" w:hAnsi="仿宋_GB2312" w:eastAsia="仿宋_GB2312" w:cs="仿宋_GB2312"/>
          <w:sz w:val="32"/>
          <w:szCs w:val="32"/>
          <w:shd w:val="clear" w:color="auto" w:fill="FFFFFF"/>
        </w:rPr>
        <w:t>与上年相比，本年资产总额减少59.93万元。 </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八、重点项目预算的绩效目标等预算绩效情况说明</w:t>
      </w:r>
    </w:p>
    <w:p>
      <w:pPr>
        <w:ind w:firstLine="640" w:firstLineChars="200"/>
        <w:rPr>
          <w:rFonts w:ascii="楷体" w:hAnsi="楷体" w:eastAsia="楷体" w:cstheme="minorEastAsia"/>
          <w:bCs/>
          <w:sz w:val="32"/>
          <w:szCs w:val="32"/>
        </w:rPr>
      </w:pPr>
      <w:r>
        <w:rPr>
          <w:rFonts w:hint="eastAsia" w:ascii="仿宋_GB2312" w:hAnsi="仿宋_GB2312" w:eastAsia="仿宋_GB2312" w:cs="仿宋_GB2312"/>
          <w:sz w:val="32"/>
          <w:szCs w:val="32"/>
        </w:rPr>
        <w:t>我单位本年度项目支出0万元，其中：重点项目支出0万元。</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九、一般公共预算“三公”经费支出增减变化原因等说明</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本部门2020年度一般公共预算“三公”经费预算数为 0.5万元 ，较2019年相同。</w:t>
      </w:r>
    </w:p>
    <w:p>
      <w:pPr>
        <w:numPr>
          <w:ilvl w:val="0"/>
          <w:numId w:val="2"/>
        </w:num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因公出国（境）支出年初预算数为0万元，因公出国（境）团组数为0，人数为0。较2018年增加（减少）0万元，增长（下降）0%。</w:t>
      </w:r>
    </w:p>
    <w:p>
      <w:pPr>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（二）公务接待费支出年初预算数为0.5 万元，较2019年相等。</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三）公务用车购置及运行维护费支出0万元，其中公务用车购置年初预算数为0万元，较2018年增加（减少）0万元，增长（下降）0%；公务用车运行维护费支出年初预算数为0万元，较2018年增加（减少）0万元，增长（下降）0%。本年度公务用车购置数0辆，公务用车保有量0辆。</w:t>
      </w:r>
    </w:p>
    <w:p>
      <w:pPr>
        <w:ind w:firstLine="640" w:firstLineChars="200"/>
        <w:rPr>
          <w:rFonts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襄垣县开元小学2020年政府性基金支出预算0万元。（或者：本单位本年度无此项预算，故无此项说明）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A9B22"/>
    <w:multiLevelType w:val="singleLevel"/>
    <w:tmpl w:val="980A9B22"/>
    <w:lvl w:ilvl="0" w:tentative="0">
      <w:start w:val="2"/>
      <w:numFmt w:val="chineseCounting"/>
      <w:suff w:val="nothing"/>
      <w:lvlText w:val="%1、"/>
      <w:lvlJc w:val="left"/>
      <w:rPr>
        <w:rFonts w:hint="eastAsia"/>
      </w:rPr>
    </w:lvl>
  </w:abstractNum>
  <w:abstractNum w:abstractNumId="1">
    <w:nsid w:val="FF867C84"/>
    <w:multiLevelType w:val="singleLevel"/>
    <w:tmpl w:val="FF867C8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D37C8"/>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36663"/>
    <w:rsid w:val="00C91007"/>
    <w:rsid w:val="00CC30DB"/>
    <w:rsid w:val="00CF14FA"/>
    <w:rsid w:val="00D25442"/>
    <w:rsid w:val="00E74F60"/>
    <w:rsid w:val="014A06B6"/>
    <w:rsid w:val="01742A72"/>
    <w:rsid w:val="01DA336E"/>
    <w:rsid w:val="05E42E29"/>
    <w:rsid w:val="061E09E3"/>
    <w:rsid w:val="06A43BA7"/>
    <w:rsid w:val="07F1093E"/>
    <w:rsid w:val="087A6196"/>
    <w:rsid w:val="0C5A5250"/>
    <w:rsid w:val="0C64513E"/>
    <w:rsid w:val="0DE649EC"/>
    <w:rsid w:val="0E471B10"/>
    <w:rsid w:val="0EE25EB1"/>
    <w:rsid w:val="10CB3E8D"/>
    <w:rsid w:val="11F35FF2"/>
    <w:rsid w:val="179A58B8"/>
    <w:rsid w:val="1B4A6025"/>
    <w:rsid w:val="1DF453AF"/>
    <w:rsid w:val="1E107510"/>
    <w:rsid w:val="1E643EFE"/>
    <w:rsid w:val="209E0EC3"/>
    <w:rsid w:val="22140CC1"/>
    <w:rsid w:val="24D63713"/>
    <w:rsid w:val="292140AB"/>
    <w:rsid w:val="2A937DAC"/>
    <w:rsid w:val="2DB60033"/>
    <w:rsid w:val="2F754CA8"/>
    <w:rsid w:val="2FB928F6"/>
    <w:rsid w:val="341824CB"/>
    <w:rsid w:val="343F3937"/>
    <w:rsid w:val="34D53928"/>
    <w:rsid w:val="35387AAD"/>
    <w:rsid w:val="36870474"/>
    <w:rsid w:val="36B34185"/>
    <w:rsid w:val="37015ED3"/>
    <w:rsid w:val="39E01B38"/>
    <w:rsid w:val="3C0C58B2"/>
    <w:rsid w:val="3F1B2453"/>
    <w:rsid w:val="3F5C42DA"/>
    <w:rsid w:val="40AD054A"/>
    <w:rsid w:val="424A718A"/>
    <w:rsid w:val="43E475B8"/>
    <w:rsid w:val="458B37F5"/>
    <w:rsid w:val="467D2DBE"/>
    <w:rsid w:val="48832669"/>
    <w:rsid w:val="48E87EB6"/>
    <w:rsid w:val="4A4F3891"/>
    <w:rsid w:val="4AFA4BB2"/>
    <w:rsid w:val="4D9B3CEE"/>
    <w:rsid w:val="4EBA5260"/>
    <w:rsid w:val="522F50B0"/>
    <w:rsid w:val="52567629"/>
    <w:rsid w:val="55D54CCB"/>
    <w:rsid w:val="56651596"/>
    <w:rsid w:val="582B68F4"/>
    <w:rsid w:val="5D083F24"/>
    <w:rsid w:val="5D306324"/>
    <w:rsid w:val="5E0B45F3"/>
    <w:rsid w:val="60860A87"/>
    <w:rsid w:val="60B46440"/>
    <w:rsid w:val="61C6166E"/>
    <w:rsid w:val="621A02EE"/>
    <w:rsid w:val="635C762A"/>
    <w:rsid w:val="6FD93AE0"/>
    <w:rsid w:val="71715484"/>
    <w:rsid w:val="71FC58C7"/>
    <w:rsid w:val="7249546B"/>
    <w:rsid w:val="729F0AAD"/>
    <w:rsid w:val="75F45C0F"/>
    <w:rsid w:val="7C4639D3"/>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Template>
  <Pages>8</Pages>
  <Words>514</Words>
  <Characters>2930</Characters>
  <Lines>24</Lines>
  <Paragraphs>6</Paragraphs>
  <TotalTime>15</TotalTime>
  <ScaleCrop>false</ScaleCrop>
  <LinksUpToDate>false</LinksUpToDate>
  <CharactersWithSpaces>3438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swallow</cp:lastModifiedBy>
  <cp:lastPrinted>2019-09-11T06:01:00Z</cp:lastPrinted>
  <dcterms:modified xsi:type="dcterms:W3CDTF">2021-06-05T02:19:32Z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