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spacing w:before="0" w:beforeAutospacing="0" w:after="0" w:afterAutospacing="0" w:lineRule="auto" w:line="240"/>
        <w:rPr>
          <w:szCs w:val="44"/>
          <w:lang w:eastAsia="zh-CN"/>
          <w:b w:val="0"/>
          <w:i w:val="0"/>
          <w:sz w:val="44"/>
          <w:spacing w:val="0"/>
          <w:w w:val="100"/>
          <w:rFonts w:ascii="黑体" w:eastAsia="黑体" w:hAnsi="黑体" w:hint="eastAsia"/>
          <w:caps w:val="0"/>
        </w:rPr>
        <w:snapToGrid/>
        <w:textAlignment w:val="baseline"/>
      </w:pPr>
      <w:r>
        <w:rPr>
          <w:b w:val="0"/>
          <w:i w:val="0"/>
          <w:sz w:val="44"/>
          <w:spacing w:val="0"/>
          <w:w w:val="100"/>
          <w:rFonts w:ascii="黑体" w:eastAsia="黑体" w:hAnsi="黑体" w:hint="eastAsia"/>
          <w:caps w:val="0"/>
        </w:rPr>
        <w:t/>
      </w:r>
    </w:p>
    <w:p>
      <w:pPr>
        <w:jc w:val="center"/>
        <w:spacing w:before="0" w:beforeAutospacing="0" w:after="0" w:afterAutospacing="0" w:lineRule="auto" w:line="240"/>
        <w:rPr>
          <w:szCs w:val="44"/>
          <w:b w:val="0"/>
          <w:i w:val="0"/>
          <w:sz w:val="44"/>
          <w:spacing w:val="0"/>
          <w:w w:val="100"/>
          <w:rFonts w:ascii="黑体" w:eastAsia="黑体" w:hAnsi="黑体" w:hint="eastAsia"/>
          <w:caps w:val="0"/>
        </w:rPr>
        <w:snapToGrid/>
        <w:textAlignment w:val="baseline"/>
      </w:pPr>
      <w:r>
        <w:rPr>
          <w:szCs w:val="44"/>
          <w:lang w:eastAsia="zh-CN"/>
          <w:b w:val="0"/>
          <w:i w:val="0"/>
          <w:sz w:val="44"/>
          <w:spacing w:val="0"/>
          <w:w w:val="100"/>
          <w:rFonts w:ascii="黑体" w:eastAsia="黑体" w:hAnsi="黑体" w:hint="eastAsia"/>
          <w:caps w:val="0"/>
        </w:rPr>
        <w:t>襄垣</w:t>
      </w:r>
      <w:r>
        <w:rPr>
          <w:szCs w:val="44"/>
          <w:b w:val="0"/>
          <w:i w:val="0"/>
          <w:sz w:val="44"/>
          <w:spacing w:val="0"/>
          <w:w w:val="100"/>
          <w:rFonts w:ascii="黑体" w:eastAsia="黑体" w:hAnsi="黑体" w:hint="eastAsia"/>
          <w:caps w:val="0"/>
        </w:rPr>
        <w:t>县</w:t>
      </w:r>
      <w:r>
        <w:rPr>
          <w:szCs w:val="44"/>
          <w:lang w:val="en-US" w:eastAsia="zh-CN"/>
          <w:b w:val="0"/>
          <w:i w:val="0"/>
          <w:sz w:val="44"/>
          <w:spacing w:val="0"/>
          <w:w w:val="100"/>
          <w:rFonts w:ascii="黑体" w:eastAsia="黑体" w:hAnsi="黑体" w:hint="eastAsia"/>
          <w:caps w:val="0"/>
        </w:rPr>
        <w:t>潞安小学</w:t>
      </w:r>
      <w:r>
        <w:rPr>
          <w:szCs w:val="44"/>
          <w:b w:val="0"/>
          <w:i w:val="0"/>
          <w:sz w:val="44"/>
          <w:spacing w:val="0"/>
          <w:w w:val="100"/>
          <w:rFonts w:ascii="黑体" w:eastAsia="黑体" w:hAnsi="黑体" w:hint="eastAsia"/>
          <w:caps w:val="0"/>
        </w:rPr>
        <w:t>部门</w:t>
      </w:r>
    </w:p>
    <w:p>
      <w:pPr>
        <w:jc w:val="center"/>
        <w:spacing w:before="0" w:beforeAutospacing="0" w:after="0" w:afterAutospacing="0" w:lineRule="auto" w:line="240"/>
        <w:rPr>
          <w:szCs w:val="44"/>
          <w:b w:val="0"/>
          <w:i w:val="0"/>
          <w:sz w:val="44"/>
          <w:spacing w:val="0"/>
          <w:w w:val="100"/>
          <w:rFonts w:ascii="黑体" w:eastAsia="黑体" w:hAnsi="黑体"/>
          <w:caps w:val="0"/>
        </w:rPr>
        <w:snapToGrid/>
        <w:textAlignment w:val="baseline"/>
      </w:pPr>
      <w:r>
        <w:rPr>
          <w:szCs w:val="44"/>
          <w:b w:val="0"/>
          <w:i w:val="0"/>
          <w:sz w:val="44"/>
          <w:spacing w:val="0"/>
          <w:w w:val="100"/>
          <w:rFonts w:ascii="黑体" w:eastAsia="黑体" w:hAnsi="黑体" w:hint="eastAsia"/>
          <w:caps w:val="0"/>
        </w:rPr>
        <w:t>20</w:t>
      </w:r>
      <w:r>
        <w:rPr>
          <w:szCs w:val="44"/>
          <w:lang w:val="en-US" w:eastAsia="zh-CN"/>
          <w:b w:val="0"/>
          <w:i w:val="0"/>
          <w:sz w:val="44"/>
          <w:spacing w:val="0"/>
          <w:w w:val="100"/>
          <w:rFonts w:ascii="黑体" w:eastAsia="黑体" w:hAnsi="黑体" w:hint="eastAsia"/>
          <w:caps w:val="0"/>
        </w:rPr>
        <w:t>20</w:t>
      </w:r>
      <w:r>
        <w:rPr>
          <w:szCs w:val="44"/>
          <w:b w:val="0"/>
          <w:i w:val="0"/>
          <w:sz w:val="44"/>
          <w:spacing w:val="0"/>
          <w:w w:val="100"/>
          <w:rFonts w:ascii="黑体" w:eastAsia="黑体" w:hAnsi="黑体" w:hint="eastAsia"/>
          <w:caps w:val="0"/>
        </w:rPr>
        <w:t>年部门</w:t>
      </w:r>
      <w:r>
        <w:rPr>
          <w:szCs w:val="44"/>
          <w:lang w:eastAsia="zh-CN"/>
          <w:b w:val="0"/>
          <w:i w:val="0"/>
          <w:sz w:val="44"/>
          <w:spacing w:val="0"/>
          <w:w w:val="100"/>
          <w:rFonts w:ascii="黑体" w:eastAsia="黑体" w:hAnsi="黑体" w:hint="eastAsia"/>
          <w:caps w:val="0"/>
        </w:rPr>
        <w:t>预算</w:t>
      </w:r>
      <w:r>
        <w:rPr>
          <w:szCs w:val="44"/>
          <w:b w:val="0"/>
          <w:i w:val="0"/>
          <w:sz w:val="44"/>
          <w:spacing w:val="0"/>
          <w:w w:val="100"/>
          <w:rFonts w:ascii="黑体" w:eastAsia="黑体" w:hAnsi="黑体" w:hint="eastAsia"/>
          <w:caps w:val="0"/>
        </w:rPr>
        <w:t>公开</w:t>
      </w:r>
      <w:r>
        <w:rPr>
          <w:szCs w:val="44"/>
          <w:lang w:eastAsia="zh-CN"/>
          <w:b w:val="0"/>
          <w:i w:val="0"/>
          <w:sz w:val="44"/>
          <w:spacing w:val="0"/>
          <w:w w:val="100"/>
          <w:rFonts w:ascii="黑体" w:eastAsia="黑体" w:hAnsi="黑体" w:hint="eastAsia"/>
          <w:caps w:val="0"/>
        </w:rPr>
        <w:t>情况</w:t>
      </w:r>
      <w:r>
        <w:rPr>
          <w:szCs w:val="44"/>
          <w:b w:val="0"/>
          <w:i w:val="0"/>
          <w:sz w:val="44"/>
          <w:spacing w:val="0"/>
          <w:w w:val="100"/>
          <w:rFonts w:ascii="黑体" w:eastAsia="黑体" w:hAnsi="黑体" w:hint="eastAsia"/>
          <w:caps w:val="0"/>
        </w:rPr>
        <w:t>说明</w:t>
      </w:r>
    </w:p>
    <w:p>
      <w:pPr>
        <w:jc w:val="both"/>
        <w:spacing w:before="0" w:beforeAutospacing="0" w:after="0" w:afterAutospacing="0" w:lineRule="auto" w:line="240"/>
        <w:rPr>
          <w:szCs w:val="32"/>
          <w:b w:val="0"/>
          <w:i w:val="0"/>
          <w:sz w:val="32"/>
          <w:spacing w:val="0"/>
          <w:w w:val="100"/>
          <w:rFonts/>
          <w:caps w:val="0"/>
        </w:rPr>
        <w:snapToGrid/>
        <w:ind w:firstLine="640" w:firstLineChars="200"/>
        <w:textAlignment w:val="baseline"/>
      </w:pPr>
      <w:r>
        <w:rPr>
          <w:szCs w:val="32"/>
          <w:b w:val="0"/>
          <w:i w:val="0"/>
          <w:sz w:val="32"/>
          <w:spacing w:val="0"/>
          <w:w w:val="100"/>
          <w:rFonts w:hint="eastAsia"/>
          <w:caps w:val="0"/>
        </w:rPr>
        <w:t xml:space="preserve"> </w:t>
      </w:r>
    </w:p>
    <w:p>
      <w:pPr>
        <w:jc w:val="both"/>
        <w:numPr>
          <w:ilvl w:val="0"/>
          <w:numId w:val="1"/>
        </w:numPr>
        <w:spacing w:before="0" w:beforeAutospacing="0" w:after="0" w:afterAutospacing="0" w:lineRule="auto" w:line="240"/>
        <w:rPr>
          <w:szCs w:val="32"/>
          <w:bCs w:val="0"/>
          <w:b w:val="1"/>
          <w:i w:val="0"/>
          <w:sz w:val="32"/>
          <w:spacing w:val="0"/>
          <w:w w:val="100"/>
          <w:rFonts w:ascii="楷体" w:eastAsia="楷体" w:hAnsi="楷体" w:hint="eastAsia"/>
          <w:caps w:val="0"/>
        </w:rPr>
        <w:snapToGrid/>
        <w:ind w:firstLine="643" w:firstLineChars="200"/>
        <w:textAlignment w:val="baseline"/>
      </w:pPr>
      <w:r>
        <w:rPr>
          <w:szCs w:val="32"/>
          <w:bCs w:val="0"/>
          <w:b w:val="1"/>
          <w:i w:val="0"/>
          <w:sz w:val="32"/>
          <w:spacing w:val="0"/>
          <w:w w:val="100"/>
          <w:rFonts w:ascii="楷体" w:eastAsia="楷体" w:hAnsi="楷体" w:hint="eastAsia"/>
          <w:caps w:val="0"/>
        </w:rPr>
        <w:t>部门主要职能</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一）全面贯彻执行党和国家的教育方针、政策、法规，自觉抵制各种违反教育方针、政策、法规的倾向，实施素质教育。坚持社会主义办学方向，努力培养德、智、体全面发展的社会主义事业的建设者和接班人。按教育规律办学，不断提高教育质量全面贯彻党的教育方针。严格执行新课程标准，坚持教书育人、管理育人、服务育人。搞好学校财产和师生的人生安全工作，为师生创造安全、温馨、和谐的工作和学习环境。</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（二）严格贯彻执行国家财政、财务，会计管理以及行政事业单位国有资产管理的法律、法规及各项方针政策，执行全县财政、财务、会计管理及行政事业单位国有资产管理等基础管理规章制度。</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三）编制本单位年度预决算草案并严格执行；并向上级主管部门和县财政局申报草案，由主管部门向财政局及县人民代表大会报告预算及其执行情况且向县人大常委会报告决算；深化部门预算改革，组织制定经费开支标准、定额，负责审核本单位的年度预决算.</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（四）确定本单位年度收入计划。</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（五）严格贯彻执行县国库管理制度、国库集中支付制度，负责审核和编制本单位预算和部门决算。</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（六）贯彻执行国家有关政府采购的政策，负责本单位采购工作；严格执行国家规定的开支标准和支出政策，制定本单位开支标准和支出政策。</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（七）负责制定并实施本单位关于资产管理的具体制度并执行。</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（八）执行县级政府性投资项目的财政拨款。</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（九）拟定本单位保障资金的财务管理制度且严格执行。</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（十）贯彻执行国家关于国内债务和政府外债管理的各项方针、政策、规章制度和管理办法。</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（十一）贯彻国家会计法规、准则和制度；服从县财政局对本单位会计人员的一切培训和学习计划。</w:t>
      </w:r>
    </w:p>
    <w:p>
      <w:pPr>
        <w:keepLines w:val="0"/>
        <w:widowControl w:val="0"/>
        <w:suppressLineNumbers w:val="0"/>
        <w:jc w:val="both"/>
        <w:spacing w:before="0" w:beforeAutospacing="0" w:after="0" w:afterAutospacing="0" w:lineRule="auto" w:line="240"/>
        <w:rPr>
          <w:szCs w:val="32"/>
          <w:kern w:val="2"/>
          <w:lang w:val="en-US" w:eastAsia="zh-CN" w:bidi="ar"/>
          <w:b w:val="0"/>
          <w:i w:val="0"/>
          <w:color w:val="000000"/>
          <w:sz w:val="32"/>
          <w:spacing w:val="0"/>
          <w:w w:val="100"/>
          <w:rFonts w:ascii="仿宋" w:cs="仿宋" w:eastAsia="仿宋" w:hAnsi="仿宋"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（十二）执行财税方针、政策、法律、法规，及时发现收支管理中的问题；提高服务水平。</w:t>
      </w:r>
    </w:p>
    <w:p>
      <w:pPr>
        <w:keepLines w:val="0"/>
        <w:widowControl w:val="0"/>
        <w:suppressLineNumbers w:val="0"/>
        <w:jc w:val="both"/>
        <w:spacing w:before="0" w:beforeAutospacing="0" w:after="0" w:afterAutospacing="0" w:lineRule="auto" w:line="240"/>
        <w:rPr>
          <w:szCs w:val="32"/>
          <w:bCs w:val="0"/>
          <w:b w:val="1"/>
          <w:i w:val="0"/>
          <w:color w:val="000000"/>
          <w:sz w:val="32"/>
          <w:spacing w:val="0"/>
          <w:w w:val="100"/>
          <w:rFonts w:ascii="楷体" w:eastAsia="楷体" w:hAnsi="楷体" w:hint="eastAsia"/>
          <w:caps w:val="0"/>
        </w:rPr>
        <w:snapToGrid/>
        <w:ind w:left="0" w:right="0" w:firstLine="537" w:firstLineChars="168"/>
        <w:textAlignment w:val="baseline"/>
      </w:pPr>
      <w:r>
        <w:rPr>
          <w:szCs w:val="32"/>
          <w:kern w:val="2"/>
          <w:lang w:val="en-US" w:eastAsia="zh-CN" w:bidi="ar"/>
          <w:b w:val="0"/>
          <w:i w:val="0"/>
          <w:color w:val="000000"/>
          <w:sz w:val="32"/>
          <w:spacing w:val="0"/>
          <w:w w:val="100"/>
          <w:rFonts w:ascii="仿宋" w:cs="仿宋" w:eastAsia="仿宋" w:hAnsi="仿宋" w:hint="eastAsia"/>
          <w:caps w:val="0"/>
        </w:rPr>
        <w:t>（十三）本单位严格贯彻执行国家财政、税收、宏观经济等各项方针政策，执行全县财政、税收的发展战略、方针政策、中长期规划、改革方案及其它有关政策；认真执行上级部门提出运用财税政策，实施宏观调控和综合平衡社会财力的建议。</w:t>
      </w:r>
    </w:p>
    <w:p>
      <w:pPr>
        <w:jc w:val="both"/>
        <w:spacing w:before="0" w:beforeAutospacing="0" w:after="0" w:afterAutospacing="0" w:lineRule="auto" w:line="240"/>
        <w:rPr>
          <w:szCs w:val="32"/>
          <w:bCs w:val="0"/>
          <w:b w:val="1"/>
          <w:i w:val="0"/>
          <w:color w:val="000000"/>
          <w:sz w:val="32"/>
          <w:spacing w:val="0"/>
          <w:w w:val="100"/>
          <w:rFonts w:ascii="楷体" w:eastAsia="楷体" w:hAnsi="楷体" w:hint="eastAsia"/>
          <w:caps w:val="0"/>
        </w:rPr>
        <w:snapToGrid/>
        <w:ind w:firstLine="643" w:firstLineChars="200"/>
        <w:textAlignment w:val="baseline"/>
      </w:pPr>
      <w:r>
        <w:rPr>
          <w:szCs w:val="32"/>
          <w:bCs w:val="0"/>
          <w:b w:val="1"/>
          <w:i w:val="0"/>
          <w:color w:val="000000"/>
          <w:sz w:val="32"/>
          <w:spacing w:val="0"/>
          <w:w w:val="100"/>
          <w:rFonts w:ascii="楷体" w:eastAsia="楷体" w:hAnsi="楷体" w:hint="eastAsia"/>
          <w:caps w:val="0"/>
        </w:rPr>
        <w:t>二、部门基本情况</w:t>
      </w:r>
    </w:p>
    <w:p>
      <w:pPr>
        <w:jc w:val="both"/>
        <w:spacing w:before="0" w:beforeAutospacing="0" w:after="0" w:afterAutospacing="0" w:lineRule="auto" w:line="240"/>
        <w:rPr>
          <w:szCs w:val="32"/>
          <w:bCs w:val="0"/>
          <w:b w:val="1"/>
          <w:i w:val="0"/>
          <w:color w:val="000000"/>
          <w:sz w:val="32"/>
          <w:spacing w:val="0"/>
          <w:w w:val="100"/>
          <w:rFonts w:ascii="楷体" w:eastAsia="楷体" w:hAnsi="楷体" w:hint="eastAsia"/>
          <w:caps w:val="0"/>
        </w:rPr>
        <w:snapToGrid/>
        <w:ind w:firstLine="643" w:firstLineChars="200"/>
        <w:textAlignment w:val="baseline"/>
      </w:pPr>
      <w:r>
        <w:rPr>
          <w:b w:val="1"/>
          <w:i w:val="0"/>
          <w:color w:val="000000"/>
          <w:sz w:val="32"/>
          <w:spacing w:val="0"/>
          <w:w w:val="100"/>
          <w:rFonts w:ascii="楷体" w:eastAsia="楷体" w:hAnsi="楷体" w:hint="eastAsia"/>
          <w:caps w:val="0"/>
        </w:rPr>
        <w:t/>
      </w:r>
    </w:p>
    <w:p>
      <w:pPr>
        <w:jc w:val="both"/>
        <w:spacing w:before="0" w:beforeAutospacing="0" w:after="0" w:afterAutospacing="0" w:lineRule="auto" w:line="240"/>
        <w:rPr>
          <w:szCs w:val="32"/>
          <w:b w:val="0"/>
          <w:i w:val="0"/>
          <w:color w:val="000000"/>
          <w:sz w:val="32"/>
          <w:spacing w:val="0"/>
          <w:w w:val="100"/>
          <w:rFonts w:ascii="仿宋_GB2312" w:eastAsia="仿宋_GB2312" w:hAnsi="仿宋" w:hint="eastAsia"/>
          <w:caps w:val="0"/>
        </w:rPr>
        <w:snapToGrid/>
        <w:ind w:firstLine="645"/>
        <w:textAlignment w:val="baseline"/>
      </w:pPr>
      <w:r>
        <w:rPr>
          <w:szCs w:val="30"/>
          <w:kern w:val="2"/>
          <w:lang w:val="en-US" w:eastAsia="zh-CN" w:bidi="ar"/>
          <w:b w:val="0"/>
          <w:i w:val="0"/>
          <w:color w:val="000000"/>
          <w:sz w:val="30"/>
          <w:spacing w:val="0"/>
          <w:w w:val="100"/>
          <w:rFonts w:ascii="仿宋" w:cs="仿宋_GB2312" w:eastAsia="仿宋" w:hAnsi="仿宋" w:hint="eastAsia"/>
          <w:caps w:val="0"/>
        </w:rPr>
        <w:t>襄垣县潞安小学内设8个职能股室、中心，职能股室、中心分别为：办公室、教务处、教研室、政教处、后勤处、党办、工会、综治办、</w:t>
      </w:r>
    </w:p>
    <w:p>
      <w:pPr>
        <w:widowControl/>
        <w:jc w:val="left"/>
        <w:spacing w:before="0" w:beforeAutospacing="0" w:after="0" w:afterAutospacing="0" w:line="324" w:lineRule="atLeast"/>
        <w:rPr>
          <w:szCs w:val="32"/>
          <w:bCs/>
          <w:kern w:val="0"/>
          <w:b w:val="0"/>
          <w:i w:val="0"/>
          <w:color w:val="000000"/>
          <w:sz w:val="32"/>
          <w:spacing w:val="0"/>
          <w:w w:val="100"/>
          <w:rFonts w:ascii="仿宋_GB2312" w:cs="宋体" w:eastAsia="仿宋_GB2312" w:hAnsi="楷体"/>
          <w:caps w:val="0"/>
        </w:rPr>
        <w:snapToGrid/>
        <w:ind w:left="540"/>
        <w:textAlignment w:val="baseline"/>
      </w:pPr>
      <w:r>
        <w:rPr>
          <w:szCs w:val="32"/>
          <w:bCs/>
          <w:kern w:val="0"/>
          <w:b w:val="0"/>
          <w:i w:val="0"/>
          <w:color w:val="000000"/>
          <w:sz w:val="32"/>
          <w:spacing w:val="0"/>
          <w:w w:val="100"/>
          <w:rFonts w:ascii="仿宋_GB2312" w:cs="宋体" w:eastAsia="仿宋_GB2312" w:hAnsi="楷体" w:hint="eastAsia"/>
          <w:caps w:val="0"/>
        </w:rPr>
        <w:t>（二）人员情况说明</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0" w:firstLineChars="200"/>
        <w:textAlignment w:val="baseline"/>
      </w:pPr>
      <w:r>
        <w:rPr>
          <w:szCs w:val="32"/>
          <w:kern w:val="2"/>
          <w:lang w:val="en-US" w:eastAsia="zh-CN" w:bidi="ar"/>
          <w:b w:val="0"/>
          <w:i w:val="0"/>
          <w:color w:val="000000"/>
          <w:sz w:val="32"/>
          <w:spacing w:val="0"/>
          <w:w w:val="100"/>
          <w:rFonts w:ascii="仿宋" w:cs="仿宋_GB2312" w:eastAsia="仿宋" w:hAnsi="仿宋" w:hint="eastAsia"/>
          <w:caps w:val="0"/>
        </w:rPr>
        <w:t>现有事业编制120名，实有115人，其中专业技术人员104名，工勤人员11人。</w:t>
      </w:r>
    </w:p>
    <w:p>
      <w:pPr>
        <w:jc w:val="both"/>
        <w:spacing w:before="0" w:beforeAutospacing="0" w:after="0" w:afterAutospacing="0" w:lineRule="auto" w:line="240"/>
        <w:rPr>
          <w:szCs w:val="32"/>
          <w:lang w:eastAsia="zh-CN"/>
          <w:b w:val="0"/>
          <w:i w:val="0"/>
          <w:color w:val="000000"/>
          <w:sz w:val="32"/>
          <w:spacing w:val="0"/>
          <w:w w:val="100"/>
          <w:rFonts w:ascii="黑体" w:eastAsia="黑体" w:hAnsi="黑体" w:hint="eastAsia"/>
          <w:caps w:val="0"/>
        </w:rPr>
        <w:snapToGrid/>
        <w:ind w:firstLine="640" w:firstLineChars="200"/>
        <w:textAlignment w:val="baseline"/>
      </w:pPr>
      <w:r>
        <w:rPr>
          <w:szCs w:val="32"/>
          <w:lang w:eastAsia="zh-CN"/>
          <w:b w:val="0"/>
          <w:i w:val="0"/>
          <w:color w:val="000000"/>
          <w:sz w:val="32"/>
          <w:spacing w:val="0"/>
          <w:w w:val="100"/>
          <w:rFonts w:ascii="黑体" w:eastAsia="黑体" w:hAnsi="黑体" w:hint="eastAsia"/>
          <w:caps w:val="0"/>
        </w:rPr>
        <w:t>三、预算收支增减变化情况说明</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襄垣县潞安小学2020年度收入支出预算总计1546.33万元，与上年相比收、支预算总计各增加59.18万元，增长3.98%。主要原因是人员增加。</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（一）收入预算总计1594.93万元。包括：</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1．财政拨款收入预算总计1560.94万元。</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（1）一般公共预算收入预算1546.33万元，与上年相比增加59.18万元，增长3.98%。主要原因是工资正常增长。</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（2）政府性基金收入预算0万元，与上年相比增加（减少）0万元，增长（减少）0 %。</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2．财政专户管理资金收入预算总计0万元。与上年相比增加（减少）0万元，增长（减少）0 %。</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3．其他资金收入预算总计0万元。与上年相比增加（减少）0万元，增长（减少）0%。</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default"/>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4．上年结转资金预算数为48.6万元。与上年相比减少36.86 万元。减少43.13%。</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（二）支出预算总计1546.33万元。包括：</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1．一般公共服务（类）支出1546.33万元，主要用于人员工资和学校日常开销。与上年相比增加59.18万元，增长3.98%。主要原因是人员增加。</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2．公共安全（类）支出0万元。</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3．结转下年资金预算数为0万元。</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此外，基本支出预算数为1546.33万元。与上年相比增加59.18万元，增长3.98%。主要原因是人员增加工资正常晋升。</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eastAsia"/>
          <w:caps w:val="0"/>
        </w:rPr>
        <w:snapToGrid/>
        <w:ind w:firstLine="645"/>
        <w:textAlignment w:val="baseline"/>
      </w:pPr>
      <w:r>
        <w:rPr>
          <w:szCs w:val="32"/>
          <w:kern w:val="2"/>
          <w:lang w:val="en-US" w:eastAsia="zh-CN" w:bidi="ar"/>
          <w:b w:val="0"/>
          <w:i w:val="0"/>
          <w:color w:val="000000"/>
          <w:sz w:val="32"/>
          <w:spacing w:val="0"/>
          <w:w w:val="100"/>
          <w:rFonts w:ascii="仿宋" w:cs="仿宋_GB2312" w:eastAsia="仿宋" w:hAnsi="仿宋" w:hint="eastAsia"/>
          <w:caps w:val="0"/>
        </w:rPr>
        <w:t>项目支出预算数为0万元。与上年相比减少0</w:t>
      </w:r>
    </w:p>
    <w:p>
      <w:pPr>
        <w:jc w:val="both"/>
        <w:spacing w:before="0" w:beforeAutospacing="0" w:after="0" w:afterAutospacing="0" w:lineRule="auto" w:line="240"/>
        <w:rPr>
          <w:szCs w:val="32"/>
          <w:kern w:val="2"/>
          <w:lang w:val="en-US" w:eastAsia="zh-CN" w:bidi="ar"/>
          <w:b w:val="0"/>
          <w:i w:val="0"/>
          <w:color w:val="000000"/>
          <w:sz w:val="32"/>
          <w:spacing w:val="0"/>
          <w:w w:val="100"/>
          <w:rFonts w:ascii="仿宋" w:cs="仿宋_GB2312" w:eastAsia="仿宋" w:hAnsi="仿宋" w:hint="default"/>
          <w:caps w:val="0"/>
        </w:rPr>
        <w:snapToGrid/>
        <w:textAlignment w:val="baseline"/>
      </w:pPr>
      <w:r>
        <w:rPr>
          <w:szCs w:val="32"/>
          <w:kern w:val="2"/>
          <w:lang w:val="en-US" w:eastAsia="zh-CN" w:bidi="ar"/>
          <w:b w:val="0"/>
          <w:i w:val="0"/>
          <w:color w:val="000000"/>
          <w:sz w:val="32"/>
          <w:spacing w:val="0"/>
          <w:w w:val="100"/>
          <w:rFonts w:ascii="仿宋" w:cs="仿宋_GB2312" w:eastAsia="仿宋" w:hAnsi="仿宋" w:hint="eastAsia"/>
          <w:caps w:val="0"/>
        </w:rPr>
        <w:t xml:space="preserve">    万元，减少0%。</w:t>
      </w:r>
    </w:p>
    <w:p>
      <w:pPr>
        <w:jc w:val="both"/>
        <w:spacing w:before="0" w:beforeAutospacing="0" w:after="0" w:afterAutospacing="0" w:lineRule="auto" w:line="240"/>
        <w:rPr>
          <w:szCs w:val="32"/>
          <w:bCs/>
          <w:lang w:eastAsia="zh-CN"/>
          <w:b w:val="0"/>
          <w:i w:val="0"/>
          <w:color w:val="000000"/>
          <w:sz w:val="32"/>
          <w:spacing w:val="0"/>
          <w:w w:val="100"/>
          <w:rFonts w:ascii="楷体" w:eastAsia="楷体" w:hAnsi="楷体" w:hint="eastAsia"/>
          <w:caps w:val="0"/>
        </w:rPr>
        <w:snapToGrid/>
        <w:ind w:firstLine="640" w:firstLineChars="200"/>
        <w:textAlignment w:val="baseline"/>
      </w:pPr>
      <w:r>
        <w:rPr>
          <w:szCs w:val="32"/>
          <w:bCs/>
          <w:lang w:eastAsia="zh-CN"/>
          <w:b w:val="0"/>
          <w:i w:val="0"/>
          <w:color w:val="000000"/>
          <w:sz w:val="32"/>
          <w:spacing w:val="0"/>
          <w:w w:val="100"/>
          <w:rFonts w:ascii="楷体" w:eastAsia="楷体" w:hAnsi="楷体" w:hint="eastAsia"/>
          <w:caps w:val="0"/>
        </w:rPr>
        <w:t>四</w:t>
      </w:r>
      <w:r>
        <w:rPr>
          <w:szCs w:val="32"/>
          <w:bCs/>
          <w:b w:val="0"/>
          <w:i w:val="0"/>
          <w:color w:val="000000"/>
          <w:sz w:val="32"/>
          <w:spacing w:val="0"/>
          <w:w w:val="100"/>
          <w:rFonts w:ascii="楷体" w:eastAsia="楷体" w:hAnsi="楷体" w:hint="eastAsia"/>
          <w:caps w:val="0"/>
        </w:rPr>
        <w:t>、</w:t>
      </w:r>
      <w:r>
        <w:rPr>
          <w:szCs w:val="32"/>
          <w:bCs/>
          <w:lang w:eastAsia="zh-CN"/>
          <w:b w:val="0"/>
          <w:i w:val="0"/>
          <w:color w:val="000000"/>
          <w:sz w:val="32"/>
          <w:spacing w:val="0"/>
          <w:w w:val="100"/>
          <w:rFonts w:ascii="楷体" w:eastAsia="楷体" w:hAnsi="楷体" w:hint="eastAsia"/>
          <w:caps w:val="0"/>
        </w:rPr>
        <w:t>机关运行经费安排情况说明</w:t>
      </w:r>
    </w:p>
    <w:p>
      <w:pPr>
        <w:jc w:val="both"/>
        <w:spacing w:before="0" w:beforeAutospacing="0" w:after="0" w:afterAutospacing="0" w:lineRule="auto" w:line="240"/>
        <w:rPr>
          <w:szCs w:val="32"/>
          <w:lang w:eastAsia="zh-CN"/>
          <w:b w:val="0"/>
          <w:i w:val="0"/>
          <w:color w:val="000000"/>
          <w:sz w:val="32"/>
          <w:spacing w:val="0"/>
          <w:w w:val="100"/>
          <w:rFonts w:ascii="仿宋_GB2312" w:eastAsia="仿宋_GB2312" w:hint="eastAsia"/>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本单位</w:t>
      </w:r>
      <w:r>
        <w:rPr>
          <w:szCs w:val="32"/>
          <w:b w:val="0"/>
          <w:i w:val="0"/>
          <w:color w:val="000000"/>
          <w:sz w:val="32"/>
          <w:spacing w:val="0"/>
          <w:w w:val="100"/>
          <w:rFonts w:ascii="仿宋_GB2312" w:eastAsia="仿宋_GB2312" w:hint="eastAsia"/>
          <w:caps w:val="0"/>
        </w:rPr>
        <w:t>机关运行经费</w:t>
      </w:r>
      <w:r>
        <w:rPr>
          <w:szCs w:val="32"/>
          <w:lang w:eastAsia="zh-CN"/>
          <w:b w:val="0"/>
          <w:i w:val="0"/>
          <w:color w:val="000000"/>
          <w:sz w:val="32"/>
          <w:spacing w:val="0"/>
          <w:w w:val="100"/>
          <w:rFonts w:ascii="仿宋_GB2312" w:eastAsia="仿宋_GB2312" w:hint="eastAsia"/>
          <w:caps w:val="0"/>
        </w:rPr>
        <w:t>支出预算数为59.47</w:t>
      </w:r>
      <w:r>
        <w:rPr>
          <w:szCs w:val="32"/>
          <w:lang w:val="en-US" w:eastAsia="zh-CN"/>
          <w:b w:val="0"/>
          <w:i w:val="0"/>
          <w:color w:val="000000"/>
          <w:sz w:val="32"/>
          <w:spacing w:val="0"/>
          <w:w w:val="100"/>
          <w:rFonts w:ascii="仿宋_GB2312" w:eastAsia="仿宋_GB2312" w:hint="eastAsia"/>
          <w:caps w:val="0"/>
        </w:rPr>
        <w:t xml:space="preserve">万元，较2019年减少70.19元，其中：</w:t>
      </w:r>
      <w:r>
        <w:rPr>
          <w:szCs w:val="32"/>
          <w:b w:val="0"/>
          <w:i w:val="0"/>
          <w:color w:val="000000"/>
          <w:sz w:val="32"/>
          <w:spacing w:val="0"/>
          <w:w w:val="100"/>
          <w:rFonts w:ascii="仿宋_GB2312" w:eastAsia="仿宋_GB2312" w:hint="eastAsia"/>
          <w:caps w:val="0"/>
        </w:rPr>
        <w:t>办公费</w:t>
      </w:r>
      <w:r>
        <w:rPr>
          <w:szCs w:val="32"/>
          <w:lang w:eastAsia="zh-CN"/>
          <w:b w:val="0"/>
          <w:i w:val="0"/>
          <w:color w:val="000000"/>
          <w:sz w:val="32"/>
          <w:spacing w:val="0"/>
          <w:w w:val="100"/>
          <w:rFonts w:ascii="仿宋_GB2312" w:eastAsia="仿宋_GB2312" w:hint="eastAsia"/>
          <w:caps w:val="0"/>
        </w:rPr>
        <w:t>支出8.45</w:t>
      </w:r>
      <w:r>
        <w:rPr>
          <w:szCs w:val="32"/>
          <w:lang w:val="en-US" w:eastAsia="zh-CN"/>
          <w:b w:val="0"/>
          <w:i w:val="0"/>
          <w:color w:val="000000"/>
          <w:sz w:val="32"/>
          <w:spacing w:val="0"/>
          <w:w w:val="100"/>
          <w:rFonts w:ascii="仿宋_GB2312" w:eastAsia="仿宋_GB2312" w:hint="eastAsia"/>
          <w:caps w:val="0"/>
        </w:rPr>
        <w:t>万元</w:t>
      </w:r>
      <w:r>
        <w:rPr>
          <w:szCs w:val="32"/>
          <w:b w:val="0"/>
          <w:i w:val="0"/>
          <w:color w:val="000000"/>
          <w:sz w:val="32"/>
          <w:spacing w:val="0"/>
          <w:w w:val="100"/>
          <w:rFonts w:ascii="仿宋_GB2312" w:eastAsia="仿宋_GB2312" w:hint="eastAsia"/>
          <w:caps w:val="0"/>
        </w:rPr>
        <w:t>、印刷费</w:t>
      </w:r>
      <w:r>
        <w:rPr>
          <w:szCs w:val="32"/>
          <w:lang w:eastAsia="zh-CN"/>
          <w:b w:val="0"/>
          <w:i w:val="0"/>
          <w:color w:val="000000"/>
          <w:sz w:val="32"/>
          <w:spacing w:val="0"/>
          <w:w w:val="100"/>
          <w:rFonts w:ascii="仿宋_GB2312" w:eastAsia="仿宋_GB2312" w:hint="eastAsia"/>
          <w:caps w:val="0"/>
        </w:rPr>
        <w:t>支出1.8</w:t>
      </w:r>
      <w:r>
        <w:rPr>
          <w:szCs w:val="32"/>
          <w:lang w:val="en-US" w:eastAsia="zh-CN"/>
          <w:b w:val="0"/>
          <w:i w:val="0"/>
          <w:color w:val="000000"/>
          <w:sz w:val="32"/>
          <w:spacing w:val="0"/>
          <w:w w:val="100"/>
          <w:rFonts w:ascii="仿宋_GB2312" w:eastAsia="仿宋_GB2312" w:hint="eastAsia"/>
          <w:caps w:val="0"/>
        </w:rPr>
        <w:t>万元</w:t>
      </w:r>
      <w:r>
        <w:rPr>
          <w:szCs w:val="32"/>
          <w:b w:val="0"/>
          <w:i w:val="0"/>
          <w:color w:val="000000"/>
          <w:sz w:val="32"/>
          <w:spacing w:val="0"/>
          <w:w w:val="100"/>
          <w:rFonts w:ascii="仿宋_GB2312" w:eastAsia="仿宋_GB2312" w:hint="eastAsia"/>
          <w:caps w:val="0"/>
        </w:rPr>
        <w:t>、差旅费</w:t>
      </w:r>
      <w:r>
        <w:rPr>
          <w:szCs w:val="32"/>
          <w:lang w:eastAsia="zh-CN"/>
          <w:b w:val="0"/>
          <w:i w:val="0"/>
          <w:color w:val="000000"/>
          <w:sz w:val="32"/>
          <w:spacing w:val="0"/>
          <w:w w:val="100"/>
          <w:rFonts w:ascii="仿宋_GB2312" w:eastAsia="仿宋_GB2312" w:hint="eastAsia"/>
          <w:caps w:val="0"/>
        </w:rPr>
        <w:t>支出2</w:t>
      </w:r>
      <w:r>
        <w:rPr>
          <w:szCs w:val="32"/>
          <w:lang w:val="en-US" w:eastAsia="zh-CN"/>
          <w:b w:val="0"/>
          <w:i w:val="0"/>
          <w:color w:val="000000"/>
          <w:sz w:val="32"/>
          <w:spacing w:val="0"/>
          <w:w w:val="100"/>
          <w:rFonts w:ascii="仿宋_GB2312" w:eastAsia="仿宋_GB2312" w:hint="eastAsia"/>
          <w:caps w:val="0"/>
        </w:rPr>
        <w:t> 万元，维修费11万元，租赁费4万元，培训费3万元，劳务费15万元，工会经费11.32万元，其他交通费2.5万元，咨询费1.2万元，手续费0.05万元</w:t>
      </w:r>
      <w:r>
        <w:rPr>
          <w:szCs w:val="32"/>
          <w:b w:val="0"/>
          <w:i w:val="0"/>
          <w:color w:val="000000"/>
          <w:sz w:val="32"/>
          <w:spacing w:val="0"/>
          <w:w w:val="100"/>
          <w:rFonts w:ascii="仿宋_GB2312" w:eastAsia="仿宋_GB2312" w:hint="eastAsia"/>
          <w:caps w:val="0"/>
        </w:rPr>
        <w:t>。</w:t>
      </w:r>
      <w:r>
        <w:rPr>
          <w:szCs w:val="32"/>
          <w:lang w:eastAsia="zh-CN"/>
          <w:b w:val="0"/>
          <w:i w:val="0"/>
          <w:color w:val="000000"/>
          <w:sz w:val="32"/>
          <w:spacing w:val="0"/>
          <w:w w:val="100"/>
          <w:rFonts w:ascii="仿宋_GB2312" w:eastAsia="仿宋_GB2312" w:hint="eastAsia"/>
          <w:caps w:val="0"/>
        </w:rPr>
        <w:t>主要增减变化情况：</w:t>
      </w:r>
    </w:p>
    <w:p>
      <w:pPr>
        <w:jc w:val="both"/>
        <w:spacing w:before="0" w:beforeAutospacing="0" w:after="0" w:afterAutospacing="0" w:lineRule="auto" w:line="240"/>
        <w:rPr>
          <w:szCs w:val="32"/>
          <w:bCs/>
          <w:b w:val="0"/>
          <w:i w:val="0"/>
          <w:color w:val="000000"/>
          <w:sz w:val="32"/>
          <w:spacing w:val="0"/>
          <w:w w:val="100"/>
          <w:rFonts w:ascii="楷体" w:eastAsia="楷体" w:hAnsi="楷体" w:hint="eastAsia"/>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五、</w:t>
      </w:r>
      <w:r>
        <w:rPr>
          <w:szCs w:val="32"/>
          <w:bCs/>
          <w:b w:val="0"/>
          <w:i w:val="0"/>
          <w:color w:val="000000"/>
          <w:sz w:val="32"/>
          <w:spacing w:val="0"/>
          <w:w w:val="100"/>
          <w:rFonts w:ascii="楷体" w:eastAsia="楷体" w:hAnsi="楷体" w:hint="eastAsia"/>
          <w:caps w:val="0"/>
        </w:rPr>
        <w:t>政府采购</w:t>
      </w:r>
      <w:r>
        <w:rPr>
          <w:szCs w:val="32"/>
          <w:bCs/>
          <w:lang w:eastAsia="zh-CN"/>
          <w:b w:val="0"/>
          <w:i w:val="0"/>
          <w:color w:val="000000"/>
          <w:sz w:val="32"/>
          <w:spacing w:val="0"/>
          <w:w w:val="100"/>
          <w:rFonts w:ascii="楷体" w:eastAsia="楷体" w:hAnsi="楷体" w:hint="eastAsia"/>
          <w:caps w:val="0"/>
        </w:rPr>
        <w:t>安排</w:t>
      </w:r>
      <w:r>
        <w:rPr>
          <w:szCs w:val="32"/>
          <w:bCs/>
          <w:b w:val="0"/>
          <w:i w:val="0"/>
          <w:color w:val="000000"/>
          <w:sz w:val="32"/>
          <w:spacing w:val="0"/>
          <w:w w:val="100"/>
          <w:rFonts w:ascii="楷体" w:eastAsia="楷体" w:hAnsi="楷体" w:hint="eastAsia"/>
          <w:caps w:val="0"/>
        </w:rPr>
        <w:t>情况说明</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b w:val="0"/>
          <w:i w:val="0"/>
          <w:color w:val="000000"/>
          <w:sz w:val="32"/>
          <w:spacing w:val="0"/>
          <w:w w:val="100"/>
          <w:rFonts w:ascii="仿宋_GB2312" w:eastAsia="仿宋_GB2312" w:hint="eastAsia"/>
          <w:caps w:val="0"/>
        </w:rPr>
        <w:t>本部门20</w:t>
      </w:r>
      <w:r>
        <w:rPr>
          <w:szCs w:val="32"/>
          <w:lang w:val="en-US" w:eastAsia="zh-CN"/>
          <w:b w:val="0"/>
          <w:i w:val="0"/>
          <w:color w:val="000000"/>
          <w:sz w:val="32"/>
          <w:spacing w:val="0"/>
          <w:w w:val="100"/>
          <w:rFonts w:ascii="仿宋_GB2312" w:eastAsia="仿宋_GB2312" w:hint="eastAsia"/>
          <w:caps w:val="0"/>
        </w:rPr>
        <w:t>20</w:t>
      </w:r>
      <w:r>
        <w:rPr>
          <w:szCs w:val="32"/>
          <w:b w:val="0"/>
          <w:i w:val="0"/>
          <w:color w:val="000000"/>
          <w:sz w:val="32"/>
          <w:spacing w:val="0"/>
          <w:w w:val="100"/>
          <w:rFonts w:ascii="仿宋_GB2312" w:eastAsia="仿宋_GB2312" w:hint="eastAsia"/>
          <w:caps w:val="0"/>
        </w:rPr>
        <w:t>年度政府采购</w:t>
      </w:r>
      <w:r>
        <w:rPr>
          <w:szCs w:val="32"/>
          <w:lang w:eastAsia="zh-CN"/>
          <w:b w:val="0"/>
          <w:i w:val="0"/>
          <w:color w:val="000000"/>
          <w:sz w:val="32"/>
          <w:spacing w:val="0"/>
          <w:w w:val="100"/>
          <w:rFonts w:ascii="仿宋_GB2312" w:eastAsia="仿宋_GB2312" w:hint="eastAsia"/>
          <w:caps w:val="0"/>
        </w:rPr>
        <w:t>安排</w:t>
      </w:r>
      <w:r>
        <w:rPr>
          <w:szCs w:val="32"/>
          <w:lang w:val="en-US" w:eastAsia="zh-CN"/>
          <w:b w:val="0"/>
          <w:i w:val="0"/>
          <w:color w:val="000000"/>
          <w:sz w:val="32"/>
          <w:spacing w:val="0"/>
          <w:w w:val="100"/>
          <w:rFonts w:ascii="仿宋_GB2312" w:eastAsia="仿宋_GB2312" w:hint="eastAsia"/>
          <w:caps w:val="0"/>
        </w:rPr>
        <w:t>72.17</w:t>
      </w:r>
      <w:r>
        <w:rPr>
          <w:szCs w:val="32"/>
          <w:b w:val="0"/>
          <w:i w:val="0"/>
          <w:color w:val="000000"/>
          <w:sz w:val="32"/>
          <w:spacing w:val="0"/>
          <w:w w:val="100"/>
          <w:rFonts w:ascii="仿宋_GB2312" w:eastAsia="仿宋_GB2312" w:hint="eastAsia"/>
          <w:caps w:val="0"/>
        </w:rPr>
        <w:t>万元，其中：政府采购货物支出</w:t>
      </w:r>
      <w:r>
        <w:rPr>
          <w:szCs w:val="32"/>
          <w:lang w:val="en-US" w:eastAsia="zh-CN"/>
          <w:b w:val="0"/>
          <w:i w:val="0"/>
          <w:color w:val="000000"/>
          <w:sz w:val="32"/>
          <w:spacing w:val="0"/>
          <w:w w:val="100"/>
          <w:rFonts w:ascii="仿宋_GB2312" w:eastAsia="仿宋_GB2312" w:hint="eastAsia"/>
          <w:caps w:val="0"/>
        </w:rPr>
        <w:t>72.17</w:t>
      </w:r>
      <w:r>
        <w:rPr>
          <w:szCs w:val="32"/>
          <w:b w:val="0"/>
          <w:i w:val="0"/>
          <w:color w:val="000000"/>
          <w:sz w:val="32"/>
          <w:spacing w:val="0"/>
          <w:w w:val="100"/>
          <w:rFonts w:ascii="仿宋_GB2312" w:eastAsia="仿宋_GB2312" w:hint="eastAsia"/>
          <w:caps w:val="0"/>
        </w:rPr>
        <w:t>万元、政府采购工程支出0万元、政府采购服务支出0万元。授予中小企业合同金额0万元，占政府采购支出总额的0%。</w:t>
      </w:r>
    </w:p>
    <w:p>
      <w:pPr>
        <w:jc w:val="both"/>
        <w:spacing w:before="0" w:beforeAutospacing="0" w:after="0" w:afterAutospacing="0" w:lineRule="auto" w:line="240"/>
        <w:rPr>
          <w:szCs w:val="32"/>
          <w:bCs/>
          <w:lang w:eastAsia="zh-CN"/>
          <w:b w:val="0"/>
          <w:i w:val="0"/>
          <w:color w:val="000000"/>
          <w:sz w:val="32"/>
          <w:spacing w:val="0"/>
          <w:w w:val="100"/>
          <w:rFonts w:ascii="楷体" w:eastAsia="楷体" w:hAnsi="楷体" w:hint="eastAsia"/>
          <w:caps w:val="0"/>
        </w:rPr>
        <w:snapToGrid/>
        <w:ind w:firstLine="640" w:firstLineChars="200"/>
        <w:textAlignment w:val="baseline"/>
      </w:pPr>
      <w:r>
        <w:rPr>
          <w:szCs w:val="32"/>
          <w:bCs/>
          <w:lang w:eastAsia="zh-CN"/>
          <w:b w:val="0"/>
          <w:i w:val="0"/>
          <w:color w:val="000000"/>
          <w:sz w:val="32"/>
          <w:spacing w:val="0"/>
          <w:w w:val="100"/>
          <w:rFonts w:ascii="楷体" w:eastAsia="楷体" w:hAnsi="楷体" w:hint="eastAsia"/>
          <w:caps w:val="0"/>
        </w:rPr>
        <w:t>六</w:t>
      </w:r>
      <w:r>
        <w:rPr>
          <w:szCs w:val="32"/>
          <w:bCs/>
          <w:b w:val="0"/>
          <w:i w:val="0"/>
          <w:color w:val="000000"/>
          <w:sz w:val="32"/>
          <w:spacing w:val="0"/>
          <w:w w:val="100"/>
          <w:rFonts w:ascii="楷体" w:eastAsia="楷体" w:hAnsi="楷体" w:hint="eastAsia"/>
          <w:caps w:val="0"/>
        </w:rPr>
        <w:t>、</w:t>
      </w:r>
      <w:r>
        <w:rPr>
          <w:szCs w:val="32"/>
          <w:bCs/>
          <w:lang w:eastAsia="zh-CN"/>
          <w:b w:val="0"/>
          <w:i w:val="0"/>
          <w:color w:val="000000"/>
          <w:sz w:val="32"/>
          <w:spacing w:val="0"/>
          <w:w w:val="100"/>
          <w:rFonts w:ascii="楷体" w:eastAsia="楷体" w:hAnsi="楷体" w:hint="eastAsia"/>
          <w:caps w:val="0"/>
        </w:rPr>
        <w:t>对专业性较强的名词进行解释</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（一）</w:t>
      </w:r>
      <w:r>
        <w:rPr>
          <w:szCs w:val="32"/>
          <w:b w:val="0"/>
          <w:i w:val="0"/>
          <w:color w:val="000000"/>
          <w:sz w:val="32"/>
          <w:spacing w:val="0"/>
          <w:w w:val="100"/>
          <w:rFonts w:ascii="仿宋_GB2312" w:eastAsia="仿宋_GB2312" w:hint="eastAsia"/>
          <w:caps w:val="0"/>
        </w:rPr>
        <w:t>财政拨款收入：指单位本年度从本级财政部门取得的财政拨款，包括一般公共预算财政拨款和政府性基金预算财政拨款。</w:t>
      </w:r>
    </w:p>
    <w:p>
      <w:pPr>
        <w:jc w:val="both"/>
        <w:spacing w:before="0" w:beforeAutospacing="0" w:after="0" w:afterAutospacing="0" w:lineRule="auto" w:line="240"/>
        <w:rPr>
          <w:szCs w:val="32"/>
          <w:b w:val="0"/>
          <w:i w:val="0"/>
          <w:color w:val="000000"/>
          <w:sz w:val="32"/>
          <w:spacing w:val="0"/>
          <w:w w:val="100"/>
          <w:rFonts w:ascii="仿宋_GB2312" w:eastAsia="仿宋_GB2312" w:hint="eastAsia"/>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（二）</w:t>
      </w:r>
      <w:r>
        <w:rPr>
          <w:szCs w:val="32"/>
          <w:b w:val="0"/>
          <w:i w:val="0"/>
          <w:color w:val="000000"/>
          <w:sz w:val="32"/>
          <w:spacing w:val="0"/>
          <w:w w:val="100"/>
          <w:rFonts w:ascii="仿宋_GB2312" w:eastAsia="仿宋_GB2312" w:hint="eastAsia"/>
          <w:caps w:val="0"/>
        </w:rPr>
        <w:t>上级补助收入：指事业单位从主管部门和上级单位取得的非财政补助收入。</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（三）</w:t>
      </w:r>
      <w:r>
        <w:rPr>
          <w:szCs w:val="32"/>
          <w:b w:val="0"/>
          <w:i w:val="0"/>
          <w:color w:val="000000"/>
          <w:sz w:val="32"/>
          <w:spacing w:val="0"/>
          <w:w w:val="100"/>
          <w:rFonts w:ascii="仿宋_GB2312" w:eastAsia="仿宋_GB2312" w:hint="eastAsia"/>
          <w:caps w:val="0"/>
        </w:rPr>
        <w:t xml:space="preserve">事业收入：指事业单位开展专业业务活动及其辅助活动取得的收入；事业单位收到的财政专户实际核拨的教育收费等资金在此反映。 </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（四）</w:t>
      </w:r>
      <w:r>
        <w:rPr>
          <w:szCs w:val="32"/>
          <w:b w:val="0"/>
          <w:i w:val="0"/>
          <w:color w:val="000000"/>
          <w:sz w:val="32"/>
          <w:spacing w:val="0"/>
          <w:w w:val="100"/>
          <w:rFonts w:ascii="仿宋_GB2312" w:eastAsia="仿宋_GB2312" w:hint="eastAsia"/>
          <w:caps w:val="0"/>
        </w:rPr>
        <w:t>经营收入：指事业单位在专业业务活动及其辅助活动之外开展非独立核算经营活动取得的收入。</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（五）</w:t>
      </w:r>
      <w:r>
        <w:rPr>
          <w:szCs w:val="32"/>
          <w:b w:val="0"/>
          <w:i w:val="0"/>
          <w:color w:val="000000"/>
          <w:sz w:val="32"/>
          <w:spacing w:val="0"/>
          <w:w w:val="100"/>
          <w:rFonts w:ascii="仿宋_GB2312" w:eastAsia="仿宋_GB2312" w:hint="eastAsia"/>
          <w:caps w:val="0"/>
        </w:rPr>
        <w:t>附属单位缴款：指事业单位附属独立核算单位按照有关规定上缴的收入。</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（六）</w:t>
      </w:r>
      <w:r>
        <w:rPr>
          <w:szCs w:val="32"/>
          <w:b w:val="0"/>
          <w:i w:val="0"/>
          <w:color w:val="000000"/>
          <w:sz w:val="32"/>
          <w:spacing w:val="0"/>
          <w:w w:val="100"/>
          <w:rFonts w:ascii="仿宋_GB2312" w:eastAsia="仿宋_GB2312" w:hint="eastAsia"/>
          <w:caps w:val="0"/>
        </w:rPr>
        <w:t xml:space="preserve">其他收入：指单位取得的除上述“财政拨款收入”、“事业收入”、“经营收入”、“附属单位缴款”等以外的各项收入。 </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（七）</w:t>
      </w:r>
      <w:r>
        <w:rPr>
          <w:szCs w:val="32"/>
          <w:b w:val="0"/>
          <w:i w:val="0"/>
          <w:color w:val="000000"/>
          <w:sz w:val="32"/>
          <w:spacing w:val="0"/>
          <w:w w:val="100"/>
          <w:rFonts w:ascii="仿宋_GB2312" w:eastAsia="仿宋_GB2312" w:hint="eastAsia"/>
          <w:caps w:val="0"/>
        </w:rPr>
        <w:t xml:space="preserve">用事业基金弥补收支差额：指事业单位用事业基金弥补当年收支差额的数额。 </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（八）</w:t>
      </w:r>
      <w:r>
        <w:rPr>
          <w:szCs w:val="32"/>
          <w:b w:val="0"/>
          <w:i w:val="0"/>
          <w:color w:val="000000"/>
          <w:sz w:val="32"/>
          <w:spacing w:val="0"/>
          <w:w w:val="100"/>
          <w:rFonts w:ascii="仿宋_GB2312" w:eastAsia="仿宋_GB2312" w:hint="eastAsia"/>
          <w:caps w:val="0"/>
        </w:rPr>
        <w:t xml:space="preserve">年初结转和结余：指单位上年结转本年使用的基本支出结转、项目支出结转和结余和经营结余。 </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（九）</w:t>
      </w:r>
      <w:r>
        <w:rPr>
          <w:szCs w:val="32"/>
          <w:b w:val="0"/>
          <w:i w:val="0"/>
          <w:color w:val="000000"/>
          <w:sz w:val="32"/>
          <w:spacing w:val="0"/>
          <w:w w:val="100"/>
          <w:rFonts w:ascii="仿宋_GB2312" w:eastAsia="仿宋_GB2312" w:hint="eastAsia"/>
          <w:caps w:val="0"/>
        </w:rPr>
        <w:t xml:space="preserve">结余分配：指事业单位按规定对非财政补助结余资金提取的职工福利基金、事业基金和缴纳的所得税，以及减少单位按规定应缴回的基本建设竣工项目结余资金。 </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（十）</w:t>
      </w:r>
      <w:r>
        <w:rPr>
          <w:szCs w:val="32"/>
          <w:b w:val="0"/>
          <w:i w:val="0"/>
          <w:color w:val="000000"/>
          <w:sz w:val="32"/>
          <w:spacing w:val="0"/>
          <w:w w:val="100"/>
          <w:rFonts w:ascii="仿宋_GB2312" w:eastAsia="仿宋_GB2312" w:hint="eastAsia"/>
          <w:caps w:val="0"/>
        </w:rPr>
        <w:t>年末结转和结余资金：指单位结转下年的基本支出结转、项目支出结转和结余和经营结余。</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十一</w:t>
      </w: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 xml:space="preserve">基本支出：指为保障机构正常运转、完成日常工作任务而发生的人员支出和公用支出。 </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十二</w:t>
      </w: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 xml:space="preserve">项目支出：指在基本支出之外为完成特定的行政任务或事业发展目标所发生的支出。 </w:t>
      </w:r>
    </w:p>
    <w:p>
      <w:pPr>
        <w:jc w:val="both"/>
        <w:spacing w:before="0" w:beforeAutospacing="0" w:after="0" w:afterAutospacing="0" w:lineRule="auto" w:line="240"/>
        <w:rPr>
          <w:szCs w:val="32"/>
          <w:b w:val="0"/>
          <w:i w:val="0"/>
          <w:color w:val="000000"/>
          <w:sz w:val="32"/>
          <w:spacing w:val="0"/>
          <w:w w:val="100"/>
          <w:rFonts w:ascii="仿宋_GB2312" w:eastAsia="仿宋_GB2312" w:hint="eastAsia"/>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十三</w:t>
      </w: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上缴上级支出：指事业单位按照财政部门和主管部门的规定上缴上级单位的支出。</w:t>
      </w:r>
    </w:p>
    <w:p>
      <w:pPr>
        <w:jc w:val="both"/>
        <w:spacing w:before="0" w:beforeAutospacing="0" w:after="0" w:afterAutospacing="0" w:lineRule="auto" w:line="240"/>
        <w:rPr>
          <w:szCs w:val="32"/>
          <w:b w:val="0"/>
          <w:i w:val="0"/>
          <w:color w:val="000000"/>
          <w:sz w:val="32"/>
          <w:spacing w:val="0"/>
          <w:w w:val="100"/>
          <w:rFonts w:ascii="仿宋_GB2312" w:eastAsia="仿宋_GB2312" w:hint="eastAsia"/>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十四</w:t>
      </w: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经营支出：指事业单位在专业业务活动及其辅助活动之外开展非独立核算经营活动发生的支出。</w:t>
      </w:r>
    </w:p>
    <w:p>
      <w:pPr>
        <w:jc w:val="both"/>
        <w:spacing w:before="0" w:beforeAutospacing="0" w:after="0" w:afterAutospacing="0" w:lineRule="auto" w:line="240"/>
        <w:rPr>
          <w:szCs w:val="32"/>
          <w:b w:val="0"/>
          <w:i w:val="0"/>
          <w:color w:val="000000"/>
          <w:sz w:val="32"/>
          <w:spacing w:val="0"/>
          <w:w w:val="100"/>
          <w:rFonts w:ascii="仿宋_GB2312" w:eastAsia="仿宋_GB2312" w:hint="eastAsia"/>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十五</w:t>
      </w: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对附属单位补助支出：指事业单位用财政补助收入之外的收入对附属单位补助发生的支出。</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十六</w:t>
      </w: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十七</w:t>
      </w:r>
      <w:r>
        <w:rPr>
          <w:szCs w:val="32"/>
          <w:lang w:eastAsia="zh-CN"/>
          <w:b w:val="0"/>
          <w:i w:val="0"/>
          <w:color w:val="000000"/>
          <w:sz w:val="32"/>
          <w:spacing w:val="0"/>
          <w:w w:val="100"/>
          <w:rFonts w:ascii="仿宋_GB2312" w:eastAsia="仿宋_GB2312" w:hint="eastAsia"/>
          <w:caps w:val="0"/>
        </w:rPr>
        <w:t>）</w:t>
      </w:r>
      <w:r>
        <w:rPr>
          <w:szCs w:val="32"/>
          <w:b w:val="0"/>
          <w:i w:val="0"/>
          <w:color w:val="000000"/>
          <w:sz w:val="32"/>
          <w:spacing w:val="0"/>
          <w:w w:val="100"/>
          <w:rFonts w:ascii="仿宋_GB2312" w:eastAsia="仿宋_GB2312" w:hint="eastAsia"/>
          <w:caps w:val="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jc w:val="both"/>
        <w:spacing w:before="0" w:beforeAutospacing="0" w:after="0" w:afterAutospacing="0" w:lineRule="auto" w:line="240"/>
        <w:rPr>
          <w:szCs w:val="32"/>
          <w:bCs/>
          <w:lang w:val="en-US" w:eastAsia="zh-CN"/>
          <w:b w:val="0"/>
          <w:i w:val="0"/>
          <w:color w:val="000000"/>
          <w:sz w:val="32"/>
          <w:spacing w:val="0"/>
          <w:w w:val="100"/>
          <w:rFonts w:ascii="楷体" w:eastAsia="楷体" w:hAnsi="楷体" w:hint="eastAsia"/>
          <w:caps w:val="0"/>
        </w:rPr>
        <w:snapToGrid/>
        <w:ind w:firstLine="640" w:firstLineChars="200"/>
        <w:textAlignment w:val="baseline"/>
      </w:pPr>
      <w:r>
        <w:rPr>
          <w:szCs w:val="32"/>
          <w:bCs/>
          <w:lang w:eastAsia="zh-CN"/>
          <w:b w:val="0"/>
          <w:i w:val="0"/>
          <w:color w:val="000000"/>
          <w:sz w:val="32"/>
          <w:spacing w:val="0"/>
          <w:w w:val="100"/>
          <w:rFonts w:ascii="楷体" w:eastAsia="楷体" w:hAnsi="楷体" w:hint="eastAsia"/>
          <w:caps w:val="0"/>
        </w:rPr>
        <w:t>七、国有</w:t>
      </w:r>
      <w:r>
        <w:rPr>
          <w:szCs w:val="32"/>
          <w:bCs/>
          <w:lang w:val="en-US" w:eastAsia="zh-CN"/>
          <w:b w:val="0"/>
          <w:i w:val="0"/>
          <w:color w:val="000000"/>
          <w:sz w:val="32"/>
          <w:spacing w:val="0"/>
          <w:w w:val="100"/>
          <w:rFonts w:ascii="楷体" w:eastAsia="楷体" w:hAnsi="楷体" w:hint="eastAsia"/>
          <w:caps w:val="0"/>
        </w:rPr>
        <w:t>资产占用情况说明</w:t>
      </w:r>
    </w:p>
    <w:p>
      <w:pPr>
        <w:pStyle w:val="2"/>
        <w:widowControl/>
        <w:jc w:val="both"/>
        <w:spacing w:before="150" w:beforeAutospacing="0" w:after="150" w:afterAutospacing="0" w:line="465" w:lineRule="atLeast"/>
        <w:rPr>
          <w:szCs w:val="32"/>
          <w:b w:val="0"/>
          <w:i w:val="0"/>
          <w:color w:val="000000"/>
          <w:sz w:val="32"/>
          <w:spacing w:val="0"/>
          <w:w w:val="100"/>
          <w:rFonts w:ascii="仿宋_GB2312" w:cs="仿宋_GB2312" w:eastAsia="仿宋_GB2312" w:hAnsi="仿宋_GB2312" w:hint="eastAsia"/>
          <w:caps w:val="0"/>
        </w:rPr>
        <w:snapToGrid/>
        <w:ind w:firstLine="555"/>
        <w:textAlignment w:val="baseline"/>
      </w:pPr>
      <w:r>
        <w:rPr>
          <w:szCs w:val="32"/>
          <w:b w:val="0"/>
          <w:i w:val="0"/>
          <w:color w:val="000000"/>
          <w:sz w:val="32"/>
          <w:spacing w:val="0"/>
          <w:w w:val="100"/>
          <w:shd w:fill="FFFFFF" w:color="auto" w:val="clear"/>
          <w:rFonts w:ascii="仿宋_GB2312" w:cs="仿宋_GB2312" w:eastAsia="仿宋_GB2312" w:hAnsi="仿宋_GB2312" w:hint="eastAsia"/>
          <w:caps w:val="0"/>
        </w:rPr>
        <w:t>截止2019年12月31日，本单位资产总额 791.29万元，其中流动资产 48.69万元，固定资产 675.85万元，在建工程 45.93万元，无形资产 20.82万元。固定资产当中，房屋构筑物 539.76万元，汽车无，单价200万元以上大型设备价值无，其他固定资产 136.09万元。 </w:t>
      </w:r>
    </w:p>
    <w:p>
      <w:pPr>
        <w:pStyle w:val="2"/>
        <w:widowControl/>
        <w:jc w:val="both"/>
        <w:spacing w:before="150" w:beforeAutospacing="0" w:after="150" w:afterAutospacing="0" w:line="465" w:lineRule="atLeast"/>
        <w:rPr>
          <w:szCs w:val="32"/>
          <w:b w:val="0"/>
          <w:i w:val="0"/>
          <w:color w:val="000000"/>
          <w:sz w:val="32"/>
          <w:spacing w:val="0"/>
          <w:w w:val="100"/>
          <w:shd w:fill="FFFFFF" w:color="auto" w:val="clear"/>
          <w:rFonts w:ascii="仿宋_GB2312" w:cs="仿宋_GB2312" w:eastAsia="仿宋_GB2312" w:hAnsi="仿宋_GB2312" w:hint="eastAsia"/>
          <w:caps w:val="0"/>
        </w:rPr>
        <w:snapToGrid/>
        <w:ind w:firstLine="555"/>
        <w:textAlignment w:val="baseline"/>
      </w:pPr>
      <w:r>
        <w:rPr>
          <w:szCs w:val="32"/>
          <w:b w:val="0"/>
          <w:i w:val="0"/>
          <w:color w:val="000000"/>
          <w:sz w:val="32"/>
          <w:spacing w:val="0"/>
          <w:w w:val="100"/>
          <w:shd w:fill="FFFFFF" w:color="auto" w:val="clear"/>
          <w:rFonts w:ascii="仿宋_GB2312" w:cs="仿宋_GB2312" w:eastAsia="仿宋_GB2312" w:hAnsi="仿宋_GB2312" w:hint="eastAsia"/>
          <w:caps w:val="0"/>
        </w:rPr>
        <w:t>与上年相比，本年资产总额减少14.93万元。 </w:t>
      </w:r>
    </w:p>
    <w:p>
      <w:pPr>
        <w:jc w:val="both"/>
        <w:spacing w:before="0" w:beforeAutospacing="0" w:after="0" w:afterAutospacing="0" w:lineRule="auto" w:line="240"/>
        <w:rPr>
          <w:szCs w:val="32"/>
          <w:bCs/>
          <w:lang w:val="en-US" w:eastAsia="zh-CN"/>
          <w:b w:val="0"/>
          <w:i w:val="0"/>
          <w:color w:val="000000"/>
          <w:sz w:val="32"/>
          <w:spacing w:val="0"/>
          <w:w w:val="100"/>
          <w:rFonts w:ascii="楷体" w:eastAsia="楷体" w:hAnsi="楷体" w:hint="eastAsia"/>
          <w:caps w:val="0"/>
        </w:rPr>
        <w:snapToGrid/>
        <w:ind w:firstLine="640" w:firstLineChars="200"/>
        <w:textAlignment w:val="baseline"/>
      </w:pPr>
      <w:r>
        <w:rPr>
          <w:szCs w:val="32"/>
          <w:bCs/>
          <w:lang w:val="en-US" w:eastAsia="zh-CN"/>
          <w:b w:val="0"/>
          <w:i w:val="0"/>
          <w:color w:val="000000"/>
          <w:sz w:val="32"/>
          <w:spacing w:val="0"/>
          <w:w w:val="100"/>
          <w:rFonts w:ascii="楷体" w:eastAsia="楷体" w:hAnsi="楷体" w:hint="eastAsia"/>
          <w:caps w:val="0"/>
        </w:rPr>
        <w:t>八、重点项目预算的绩效目标等预算绩效情况说明</w:t>
      </w:r>
    </w:p>
    <w:p>
      <w:pPr>
        <w:keepLines w:val="0"/>
        <w:widowControl w:val="0"/>
        <w:jc w:val="both"/>
        <w:spacing w:before="0" w:beforeAutospacing="0" w:after="0" w:afterAutospacing="0" w:lineRule="auto" w:line="240"/>
        <w:rPr>
          <w:szCs w:val="32"/>
          <w:lang w:val="en-US" w:eastAsia="zh-CN"/>
          <w:b w:val="0"/>
          <w:i w:val="0"/>
          <w:color w:val="000000"/>
          <w:sz w:val="32"/>
          <w:spacing w:val="0"/>
          <w:w w:val="100"/>
          <w:rFonts w:ascii="仿宋_GB2312" w:cs="仿宋_GB2312" w:eastAsia="仿宋_GB2312" w:hAnsi="仿宋_GB2312" w:hint="eastAsia"/>
          <w:caps w:val="0"/>
        </w:rPr>
        <w:snapToGrid/>
        <w:ind w:firstLine="640" w:firstLineChars="200"/>
        <w:textAlignment w:val="baseline"/>
      </w:pPr>
      <w:r>
        <w:rPr>
          <w:szCs w:val="32"/>
          <w:lang w:val="en-US" w:eastAsia="zh-CN"/>
          <w:b w:val="0"/>
          <w:i w:val="0"/>
          <w:color w:val="000000"/>
          <w:sz w:val="32"/>
          <w:spacing w:val="0"/>
          <w:w w:val="100"/>
          <w:rFonts w:ascii="仿宋_GB2312" w:cs="仿宋_GB2312" w:eastAsia="仿宋_GB2312" w:hAnsi="仿宋_GB2312" w:hint="eastAsia"/>
          <w:caps w:val="0"/>
        </w:rPr>
        <w:t>我单位本年度项目支出93.74万元，其中：重点项目支出0万元。</w:t>
      </w:r>
    </w:p>
    <w:p>
      <w:pPr>
        <w:jc w:val="both"/>
        <w:spacing w:before="0" w:beforeAutospacing="0" w:after="0" w:afterAutospacing="0" w:lineRule="auto" w:line="240"/>
        <w:rPr>
          <w:szCs w:val="32"/>
          <w:bCs/>
          <w:lang w:eastAsia="zh-CN"/>
          <w:b w:val="0"/>
          <w:i w:val="0"/>
          <w:color w:val="000000"/>
          <w:sz w:val="32"/>
          <w:spacing w:val="0"/>
          <w:w w:val="100"/>
          <w:rFonts w:ascii="楷体" w:eastAsia="楷体" w:hAnsi="楷体" w:hint="eastAsia"/>
          <w:caps w:val="0"/>
        </w:rPr>
        <w:snapToGrid/>
        <w:ind w:firstLine="640" w:firstLineChars="200"/>
        <w:textAlignment w:val="baseline"/>
      </w:pPr>
      <w:r>
        <w:rPr>
          <w:szCs w:val="32"/>
          <w:bCs/>
          <w:lang w:val="en-US" w:eastAsia="zh-CN"/>
          <w:b w:val="0"/>
          <w:i w:val="0"/>
          <w:color w:val="000000"/>
          <w:sz w:val="32"/>
          <w:spacing w:val="0"/>
          <w:w w:val="100"/>
          <w:rFonts w:ascii="楷体" w:eastAsia="楷体" w:hAnsi="楷体" w:hint="eastAsia"/>
          <w:caps w:val="0"/>
        </w:rPr>
        <w:t>九、</w:t>
      </w:r>
      <w:r>
        <w:rPr>
          <w:szCs w:val="32"/>
          <w:bCs/>
          <w:b w:val="0"/>
          <w:i w:val="0"/>
          <w:color w:val="000000"/>
          <w:sz w:val="32"/>
          <w:spacing w:val="0"/>
          <w:w w:val="100"/>
          <w:rFonts w:ascii="楷体" w:eastAsia="楷体" w:hAnsi="楷体" w:hint="eastAsia"/>
          <w:caps w:val="0"/>
        </w:rPr>
        <w:t>一般公共预算“三公”经费支出</w:t>
      </w:r>
      <w:r>
        <w:rPr>
          <w:szCs w:val="32"/>
          <w:bCs/>
          <w:lang w:eastAsia="zh-CN"/>
          <w:b w:val="0"/>
          <w:i w:val="0"/>
          <w:color w:val="000000"/>
          <w:sz w:val="32"/>
          <w:spacing w:val="0"/>
          <w:w w:val="100"/>
          <w:rFonts w:ascii="楷体" w:eastAsia="楷体" w:hAnsi="楷体" w:hint="eastAsia"/>
          <w:caps w:val="0"/>
        </w:rPr>
        <w:t>增减变化原因等说明</w:t>
      </w:r>
    </w:p>
    <w:p>
      <w:pPr>
        <w:jc w:val="both"/>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b w:val="0"/>
          <w:i w:val="0"/>
          <w:color w:val="000000"/>
          <w:sz w:val="32"/>
          <w:spacing w:val="0"/>
          <w:w w:val="100"/>
          <w:rFonts w:ascii="仿宋_GB2312" w:eastAsia="仿宋_GB2312" w:hint="eastAsia"/>
          <w:caps w:val="0"/>
        </w:rPr>
        <w:t>本部门20</w:t>
      </w:r>
      <w:r>
        <w:rPr>
          <w:szCs w:val="32"/>
          <w:lang w:val="en-US" w:eastAsia="zh-CN"/>
          <w:b w:val="0"/>
          <w:i w:val="0"/>
          <w:color w:val="000000"/>
          <w:sz w:val="32"/>
          <w:spacing w:val="0"/>
          <w:w w:val="100"/>
          <w:rFonts w:ascii="仿宋_GB2312" w:eastAsia="仿宋_GB2312" w:hint="eastAsia"/>
          <w:caps w:val="0"/>
        </w:rPr>
        <w:t>20</w:t>
      </w:r>
      <w:r>
        <w:rPr>
          <w:szCs w:val="32"/>
          <w:b w:val="0"/>
          <w:i w:val="0"/>
          <w:color w:val="000000"/>
          <w:sz w:val="32"/>
          <w:spacing w:val="0"/>
          <w:w w:val="100"/>
          <w:rFonts w:ascii="仿宋_GB2312" w:eastAsia="仿宋_GB2312" w:hint="eastAsia"/>
          <w:caps w:val="0"/>
        </w:rPr>
        <w:t>年度一般公共预算“三公”经费预算数为</w:t>
      </w:r>
      <w:r>
        <w:rPr>
          <w:szCs w:val="32"/>
          <w:lang w:val="en-US" w:eastAsia="zh-CN"/>
          <w:b w:val="0"/>
          <w:i w:val="0"/>
          <w:color w:val="000000"/>
          <w:sz w:val="32"/>
          <w:spacing w:val="0"/>
          <w:w w:val="100"/>
          <w:rFonts w:ascii="仿宋_GB2312" w:eastAsia="仿宋_GB2312" w:hint="eastAsia"/>
          <w:caps w:val="0"/>
        </w:rPr>
        <w:t xml:space="preserve"> 0.1</w:t>
      </w:r>
      <w:r>
        <w:rPr>
          <w:szCs w:val="32"/>
          <w:b w:val="0"/>
          <w:i w:val="0"/>
          <w:color w:val="000000"/>
          <w:sz w:val="32"/>
          <w:spacing w:val="0"/>
          <w:w w:val="100"/>
          <w:rFonts w:ascii="仿宋_GB2312" w:eastAsia="仿宋_GB2312" w:hint="eastAsia"/>
          <w:caps w:val="0"/>
        </w:rPr>
        <w:t>万元，</w:t>
      </w:r>
      <w:r>
        <w:rPr>
          <w:szCs w:val="32"/>
          <w:lang w:val="en-US" w:eastAsia="zh-CN"/>
          <w:b w:val="0"/>
          <w:i w:val="0"/>
          <w:color w:val="000000"/>
          <w:sz w:val="32"/>
          <w:spacing w:val="0"/>
          <w:w w:val="100"/>
          <w:rFonts w:ascii="仿宋_GB2312" w:eastAsia="仿宋_GB2312" w:hint="eastAsia"/>
          <w:caps w:val="0"/>
        </w:rPr>
        <w:t xml:space="preserve"> </w:t>
      </w:r>
      <w:r>
        <w:rPr>
          <w:szCs w:val="32"/>
          <w:b w:val="0"/>
          <w:i w:val="0"/>
          <w:color w:val="000000"/>
          <w:sz w:val="32"/>
          <w:spacing w:val="0"/>
          <w:w w:val="100"/>
          <w:rFonts w:ascii="仿宋_GB2312" w:eastAsia="仿宋_GB2312" w:hint="eastAsia"/>
          <w:caps w:val="0"/>
        </w:rPr>
        <w:t>其中：</w:t>
      </w:r>
    </w:p>
    <w:p>
      <w:pPr>
        <w:jc w:val="both"/>
        <w:numPr>
          <w:ilvl w:val="0"/>
          <w:numId w:val="2"/>
        </w:numPr>
        <w:spacing w:before="0" w:beforeAutospacing="0" w:after="0" w:afterAutospacing="0" w:lineRule="auto" w:line="240"/>
        <w:rPr>
          <w:szCs w:val="32"/>
          <w:b w:val="0"/>
          <w:i w:val="0"/>
          <w:color w:val="000000"/>
          <w:sz w:val="32"/>
          <w:spacing w:val="0"/>
          <w:w w:val="100"/>
          <w:rFonts w:ascii="仿宋_GB2312" w:eastAsia="仿宋_GB2312"/>
          <w:caps w:val="0"/>
        </w:rPr>
        <w:snapToGrid/>
        <w:ind w:firstLine="640" w:firstLineChars="200"/>
        <w:textAlignment w:val="baseline"/>
      </w:pPr>
      <w:r>
        <w:rPr>
          <w:szCs w:val="32"/>
          <w:b w:val="0"/>
          <w:i w:val="0"/>
          <w:color w:val="000000"/>
          <w:sz w:val="32"/>
          <w:spacing w:val="0"/>
          <w:w w:val="100"/>
          <w:rFonts w:ascii="仿宋_GB2312" w:eastAsia="仿宋_GB2312" w:hint="eastAsia"/>
          <w:caps w:val="0"/>
        </w:rPr>
        <w:t>因公出国（境）支出年初预算数为0万元，</w:t>
      </w:r>
      <w:r>
        <w:rPr>
          <w:szCs w:val="32"/>
          <w:lang w:eastAsia="zh-CN"/>
          <w:b w:val="0"/>
          <w:i w:val="0"/>
          <w:color w:val="000000"/>
          <w:sz w:val="32"/>
          <w:spacing w:val="0"/>
          <w:w w:val="100"/>
          <w:rFonts w:ascii="仿宋_GB2312" w:eastAsia="仿宋_GB2312" w:hint="eastAsia"/>
          <w:caps w:val="0"/>
        </w:rPr>
        <w:t>因公出国（境）团组数为</w:t>
      </w:r>
      <w:r>
        <w:rPr>
          <w:szCs w:val="32"/>
          <w:lang w:val="en-US" w:eastAsia="zh-CN"/>
          <w:b w:val="0"/>
          <w:i w:val="0"/>
          <w:color w:val="000000"/>
          <w:sz w:val="32"/>
          <w:spacing w:val="0"/>
          <w:w w:val="100"/>
          <w:rFonts w:ascii="仿宋_GB2312" w:eastAsia="仿宋_GB2312" w:hint="eastAsia"/>
          <w:caps w:val="0"/>
        </w:rPr>
        <w:t>0，人数为0。</w:t>
      </w:r>
      <w:r>
        <w:rPr>
          <w:szCs w:val="32"/>
          <w:b w:val="0"/>
          <w:i w:val="0"/>
          <w:color w:val="000000"/>
          <w:sz w:val="32"/>
          <w:spacing w:val="0"/>
          <w:w w:val="100"/>
          <w:rFonts w:ascii="仿宋_GB2312" w:eastAsia="仿宋_GB2312" w:hint="eastAsia"/>
          <w:caps w:val="0"/>
        </w:rPr>
        <w:t>较201</w:t>
      </w:r>
      <w:r>
        <w:rPr>
          <w:szCs w:val="32"/>
          <w:lang w:val="en-US" w:eastAsia="zh-CN"/>
          <w:b w:val="0"/>
          <w:i w:val="0"/>
          <w:color w:val="000000"/>
          <w:sz w:val="32"/>
          <w:spacing w:val="0"/>
          <w:w w:val="100"/>
          <w:rFonts w:ascii="仿宋_GB2312" w:eastAsia="仿宋_GB2312" w:hint="eastAsia"/>
          <w:caps w:val="0"/>
        </w:rPr>
        <w:t>8</w:t>
      </w:r>
      <w:r>
        <w:rPr>
          <w:szCs w:val="32"/>
          <w:b w:val="0"/>
          <w:i w:val="0"/>
          <w:color w:val="000000"/>
          <w:sz w:val="32"/>
          <w:spacing w:val="0"/>
          <w:w w:val="100"/>
          <w:rFonts w:ascii="仿宋_GB2312" w:eastAsia="仿宋_GB2312" w:hint="eastAsia"/>
          <w:caps w:val="0"/>
        </w:rPr>
        <w:t>年增加（减少）0万元，增长（下降）0%。</w:t>
      </w:r>
    </w:p>
    <w:p>
      <w:pPr>
        <w:jc w:val="both"/>
        <w:spacing w:before="0" w:beforeAutospacing="0" w:after="0" w:afterAutospacing="0" w:lineRule="auto" w:line="240"/>
        <w:rPr>
          <w:szCs w:val="32"/>
          <w:lang w:val="en-US" w:eastAsia="zh-CN"/>
          <w:b w:val="0"/>
          <w:i w:val="0"/>
          <w:color w:val="000000"/>
          <w:sz w:val="32"/>
          <w:spacing w:val="0"/>
          <w:w w:val="100"/>
          <w:rFonts w:ascii="仿宋_GB2312" w:eastAsia="仿宋_GB2312" w:hint="eastAsia"/>
          <w:caps w:val="0"/>
        </w:rPr>
        <w:snapToGrid/>
        <w:textAlignment w:val="baseline"/>
      </w:pPr>
      <w:r>
        <w:rPr>
          <w:szCs w:val="32"/>
          <w:b w:val="0"/>
          <w:i w:val="0"/>
          <w:color w:val="000000"/>
          <w:sz w:val="32"/>
          <w:spacing w:val="0"/>
          <w:w w:val="100"/>
          <w:rFonts w:ascii="仿宋_GB2312" w:eastAsia="仿宋_GB2312" w:hint="eastAsia"/>
          <w:caps w:val="0"/>
        </w:rPr>
        <w:t>　　（二）公务接待费支出年初预算数为</w:t>
      </w:r>
      <w:r>
        <w:rPr>
          <w:szCs w:val="32"/>
          <w:lang w:val="en-US" w:eastAsia="zh-CN"/>
          <w:b w:val="0"/>
          <w:i w:val="0"/>
          <w:color w:val="000000"/>
          <w:sz w:val="32"/>
          <w:spacing w:val="0"/>
          <w:w w:val="100"/>
          <w:rFonts w:ascii="仿宋_GB2312" w:eastAsia="仿宋_GB2312" w:hint="eastAsia"/>
          <w:caps w:val="0"/>
        </w:rPr>
        <w:t>0.1</w:t>
      </w:r>
      <w:r>
        <w:rPr>
          <w:szCs w:val="32"/>
          <w:b w:val="0"/>
          <w:i w:val="0"/>
          <w:color w:val="000000"/>
          <w:sz w:val="32"/>
          <w:spacing w:val="0"/>
          <w:w w:val="100"/>
          <w:rFonts w:ascii="仿宋_GB2312" w:eastAsia="仿宋_GB2312" w:hint="eastAsia"/>
          <w:caps w:val="0"/>
        </w:rPr>
        <w:t>万元</w:t>
      </w:r>
      <w:r>
        <w:rPr>
          <w:szCs w:val="32"/>
          <w:lang w:eastAsia="zh-CN"/>
          <w:b w:val="0"/>
          <w:i w:val="0"/>
          <w:color w:val="000000"/>
          <w:sz w:val="32"/>
          <w:spacing w:val="0"/>
          <w:w w:val="100"/>
          <w:rFonts w:ascii="仿宋_GB2312" w:eastAsia="仿宋_GB2312" w:hint="eastAsia"/>
          <w:caps w:val="0"/>
        </w:rPr>
        <w:t>。</w:t>
      </w:r>
    </w:p>
    <w:p>
      <w:pPr>
        <w:jc w:val="both"/>
        <w:spacing w:before="0" w:beforeAutospacing="0" w:after="0" w:afterAutospacing="0" w:lineRule="auto" w:line="240"/>
        <w:rPr>
          <w:szCs w:val="32"/>
          <w:lang w:val="en-US" w:eastAsia="zh-CN"/>
          <w:b w:val="0"/>
          <w:i w:val="0"/>
          <w:color w:val="000000"/>
          <w:sz w:val="32"/>
          <w:spacing w:val="0"/>
          <w:w w:val="100"/>
          <w:rFonts w:ascii="仿宋_GB2312" w:eastAsia="仿宋_GB2312" w:hint="default"/>
          <w:caps w:val="0"/>
        </w:rPr>
        <w:snapToGrid/>
        <w:ind w:firstLine="640" w:firstLineChars="200"/>
        <w:textAlignment w:val="baseline"/>
      </w:pPr>
      <w:r>
        <w:rPr>
          <w:szCs w:val="32"/>
          <w:b w:val="0"/>
          <w:i w:val="0"/>
          <w:color w:val="000000"/>
          <w:sz w:val="32"/>
          <w:spacing w:val="0"/>
          <w:w w:val="100"/>
          <w:rFonts w:ascii="仿宋_GB2312" w:eastAsia="仿宋_GB2312" w:hint="eastAsia"/>
          <w:caps w:val="0"/>
        </w:rPr>
        <w:t>（三）公务用车购置及运行维护费支出0万元，其中公务用车购置年初预算数为0万元，较201</w:t>
      </w:r>
      <w:r>
        <w:rPr>
          <w:szCs w:val="32"/>
          <w:lang w:val="en-US" w:eastAsia="zh-CN"/>
          <w:b w:val="0"/>
          <w:i w:val="0"/>
          <w:color w:val="000000"/>
          <w:sz w:val="32"/>
          <w:spacing w:val="0"/>
          <w:w w:val="100"/>
          <w:rFonts w:ascii="仿宋_GB2312" w:eastAsia="仿宋_GB2312" w:hint="eastAsia"/>
          <w:caps w:val="0"/>
        </w:rPr>
        <w:t>8</w:t>
      </w:r>
      <w:r>
        <w:rPr>
          <w:szCs w:val="32"/>
          <w:b w:val="0"/>
          <w:i w:val="0"/>
          <w:color w:val="000000"/>
          <w:sz w:val="32"/>
          <w:spacing w:val="0"/>
          <w:w w:val="100"/>
          <w:rFonts w:ascii="仿宋_GB2312" w:eastAsia="仿宋_GB2312" w:hint="eastAsia"/>
          <w:caps w:val="0"/>
        </w:rPr>
        <w:t>年增加（减少）0万元，增长（下降）0%；公务用车运行维护费支出年初预算数为0万元，较201</w:t>
      </w:r>
      <w:r>
        <w:rPr>
          <w:szCs w:val="32"/>
          <w:lang w:val="en-US" w:eastAsia="zh-CN"/>
          <w:b w:val="0"/>
          <w:i w:val="0"/>
          <w:color w:val="000000"/>
          <w:sz w:val="32"/>
          <w:spacing w:val="0"/>
          <w:w w:val="100"/>
          <w:rFonts w:ascii="仿宋_GB2312" w:eastAsia="仿宋_GB2312" w:hint="eastAsia"/>
          <w:caps w:val="0"/>
        </w:rPr>
        <w:t>8</w:t>
      </w:r>
      <w:r>
        <w:rPr>
          <w:szCs w:val="32"/>
          <w:b w:val="0"/>
          <w:i w:val="0"/>
          <w:color w:val="000000"/>
          <w:sz w:val="32"/>
          <w:spacing w:val="0"/>
          <w:w w:val="100"/>
          <w:rFonts w:ascii="仿宋_GB2312" w:eastAsia="仿宋_GB2312" w:hint="eastAsia"/>
          <w:caps w:val="0"/>
        </w:rPr>
        <w:t>年增加（减少）0万元，增长（下降）0%。</w:t>
      </w:r>
      <w:r>
        <w:rPr>
          <w:szCs w:val="32"/>
          <w:lang w:eastAsia="zh-CN"/>
          <w:b w:val="0"/>
          <w:i w:val="0"/>
          <w:color w:val="000000"/>
          <w:sz w:val="32"/>
          <w:spacing w:val="0"/>
          <w:w w:val="100"/>
          <w:rFonts w:ascii="仿宋_GB2312" w:eastAsia="仿宋_GB2312" w:hint="eastAsia"/>
          <w:caps w:val="0"/>
        </w:rPr>
        <w:t>本年度公务用车购置数</w:t>
      </w:r>
      <w:r>
        <w:rPr>
          <w:szCs w:val="32"/>
          <w:lang w:val="en-US" w:eastAsia="zh-CN"/>
          <w:b w:val="0"/>
          <w:i w:val="0"/>
          <w:color w:val="000000"/>
          <w:sz w:val="32"/>
          <w:spacing w:val="0"/>
          <w:w w:val="100"/>
          <w:rFonts w:ascii="仿宋_GB2312" w:eastAsia="仿宋_GB2312" w:hint="eastAsia"/>
          <w:caps w:val="0"/>
        </w:rPr>
        <w:t>0辆，公务用车保有量0辆。</w:t>
      </w:r>
    </w:p>
    <w:p>
      <w:pPr>
        <w:jc w:val="both"/>
        <w:spacing w:before="0" w:beforeAutospacing="0" w:after="0" w:afterAutospacing="0" w:lineRule="auto" w:line="240"/>
        <w:rPr>
          <w:szCs w:val="32"/>
          <w:b w:val="0"/>
          <w:i w:val="0"/>
          <w:color w:val="000000"/>
          <w:sz w:val="32"/>
          <w:spacing w:val="0"/>
          <w:w w:val="100"/>
          <w:rFonts w:ascii="楷体" w:cs="楷体" w:eastAsia="楷体" w:hAnsi="楷体" w:hint="eastAsia"/>
          <w:caps w:val="0"/>
        </w:rPr>
        <w:snapToGrid/>
        <w:ind w:firstLine="640" w:firstLineChars="200"/>
        <w:textAlignment w:val="baseline"/>
      </w:pPr>
      <w:r>
        <w:rPr>
          <w:szCs w:val="32"/>
          <w:b w:val="0"/>
          <w:i w:val="0"/>
          <w:color w:val="000000"/>
          <w:sz w:val="32"/>
          <w:spacing w:val="0"/>
          <w:w w:val="100"/>
          <w:rFonts w:ascii="楷体" w:cs="楷体" w:eastAsia="楷体" w:hAnsi="楷体" w:hint="eastAsia"/>
          <w:caps w:val="0"/>
        </w:rPr>
        <w:t>十、政府性基金预算支出预算情况说明</w:t>
      </w:r>
    </w:p>
    <w:p>
      <w:pPr>
        <w:jc w:val="both"/>
        <w:spacing w:before="0" w:beforeAutospacing="0" w:after="0" w:afterAutospacing="0" w:lineRule="auto" w:line="240"/>
        <w:rPr>
          <w:szCs w:val="32"/>
          <w:lang w:eastAsia="zh-CN"/>
          <w:b w:val="0"/>
          <w:i w:val="0"/>
          <w:color w:val="000000"/>
          <w:sz w:val="32"/>
          <w:spacing w:val="0"/>
          <w:w w:val="100"/>
          <w:rFonts w:ascii="仿宋_GB2312" w:eastAsia="仿宋_GB2312" w:hint="eastAsia"/>
          <w:caps w:val="0"/>
        </w:rPr>
        <w:snapToGrid/>
        <w:ind w:firstLine="640" w:firstLineChars="200"/>
        <w:textAlignment w:val="baseline"/>
      </w:pPr>
      <w:r>
        <w:rPr>
          <w:szCs w:val="32"/>
          <w:lang w:val="en-US" w:eastAsia="zh-CN"/>
          <w:b w:val="0"/>
          <w:i w:val="0"/>
          <w:color w:val="000000"/>
          <w:sz w:val="32"/>
          <w:spacing w:val="0"/>
          <w:w w:val="100"/>
          <w:rFonts w:ascii="仿宋_GB2312" w:eastAsia="仿宋_GB2312" w:hint="eastAsia"/>
          <w:caps w:val="0"/>
        </w:rPr>
        <w:t>襄垣县潞安小学</w:t>
      </w:r>
      <w:r>
        <w:rPr>
          <w:szCs w:val="32"/>
          <w:b w:val="0"/>
          <w:i w:val="0"/>
          <w:color w:val="000000"/>
          <w:sz w:val="32"/>
          <w:spacing w:val="0"/>
          <w:w w:val="100"/>
          <w:rFonts w:ascii="仿宋_GB2312" w:eastAsia="仿宋_GB2312" w:hint="eastAsia"/>
          <w:caps w:val="0"/>
        </w:rPr>
        <w:t>20</w:t>
      </w:r>
      <w:r>
        <w:rPr>
          <w:szCs w:val="32"/>
          <w:lang w:val="en-US" w:eastAsia="zh-CN"/>
          <w:b w:val="0"/>
          <w:i w:val="0"/>
          <w:color w:val="000000"/>
          <w:sz w:val="32"/>
          <w:spacing w:val="0"/>
          <w:w w:val="100"/>
          <w:rFonts w:ascii="仿宋_GB2312" w:eastAsia="仿宋_GB2312" w:hint="eastAsia"/>
          <w:caps w:val="0"/>
        </w:rPr>
        <w:t>20</w:t>
      </w:r>
      <w:r>
        <w:rPr>
          <w:szCs w:val="32"/>
          <w:b w:val="0"/>
          <w:i w:val="0"/>
          <w:color w:val="000000"/>
          <w:sz w:val="32"/>
          <w:spacing w:val="0"/>
          <w:w w:val="100"/>
          <w:rFonts w:ascii="仿宋_GB2312" w:eastAsia="仿宋_GB2312" w:hint="eastAsia"/>
          <w:caps w:val="0"/>
        </w:rPr>
        <w:t>年政府性基金支出预算</w:t>
      </w:r>
      <w:r>
        <w:rPr>
          <w:szCs w:val="32"/>
          <w:lang w:val="en-US" w:eastAsia="zh-CN"/>
          <w:b w:val="0"/>
          <w:i w:val="0"/>
          <w:color w:val="000000"/>
          <w:sz w:val="32"/>
          <w:spacing w:val="0"/>
          <w:w w:val="100"/>
          <w:rFonts w:ascii="仿宋_GB2312" w:eastAsia="仿宋_GB2312" w:hint="eastAsia"/>
          <w:caps w:val="0"/>
        </w:rPr>
        <w:t>0</w:t>
      </w:r>
      <w:r>
        <w:rPr>
          <w:szCs w:val="32"/>
          <w:b w:val="0"/>
          <w:i w:val="0"/>
          <w:color w:val="000000"/>
          <w:sz w:val="32"/>
          <w:spacing w:val="0"/>
          <w:w w:val="100"/>
          <w:rFonts w:ascii="仿宋_GB2312" w:eastAsia="仿宋_GB2312" w:hint="eastAsia"/>
          <w:caps w:val="0"/>
        </w:rPr>
        <w:t>万元。</w:t>
      </w:r>
    </w:p>
    <w:p>
      <w:pPr>
        <w:jc w:val="both"/>
        <w:spacing w:before="0" w:beforeAutospacing="0" w:after="0" w:afterAutospacing="0" w:lineRule="auto" w:line="240"/>
        <w:rPr>
          <w:szCs w:val="32"/>
          <w:b w:val="0"/>
          <w:i w:val="0"/>
          <w:color w:val="000000"/>
          <w:sz w:val="32"/>
          <w:spacing w:val="0"/>
          <w:w w:val="100"/>
          <w:rFonts/>
          <w:caps w:val="0"/>
        </w:rPr>
        <w:snapToGrid/>
        <w:ind w:firstLine="640" w:firstLineChars="200"/>
        <w:textAlignment w:val="baseline"/>
      </w:pPr>
      <w:r>
        <w:rPr>
          <w:b w:val="0"/>
          <w:i w:val="0"/>
          <w:color w:val="000000"/>
          <w:sz w:val="32"/>
          <w:spacing w:val="0"/>
          <w:w w:val="100"/>
          <w:rFonts/>
          <w:caps w:val="0"/>
        </w:rPr>
        <w:t/>
      </w:r>
    </w:p>
    <w:p>
      <w:pPr>
        <w:jc w:val="both"/>
        <w:spacing w:before="0" w:beforeAutospacing="0" w:after="0" w:afterAutospacing="0" w:lineRule="auto" w:line="240"/>
        <w:rPr>
          <w:szCs w:val="32"/>
          <w:b w:val="0"/>
          <w:i w:val="0"/>
          <w:color w:val="000000"/>
          <w:sz w:val="32"/>
          <w:spacing w:val="0"/>
          <w:w w:val="100"/>
          <w:rFonts/>
          <w:caps w:val="0"/>
        </w:rPr>
        <w:snapToGrid/>
        <w:textAlignment w:val="baseline"/>
      </w:pPr>
      <w:r>
        <w:rPr>
          <w:b w:val="0"/>
          <w:i w:val="0"/>
          <w:color w:val="000000"/>
          <w:sz w:val="32"/>
          <w:spacing w:val="0"/>
          <w:w w:val="100"/>
          <w:rFonts/>
          <w:caps w:val="0"/>
        </w:rPr>
        <w:t/>
      </w:r>
    </w:p>
    <w:p>
      <w:pPr>
        <w:jc w:val="both"/>
        <w:spacing w:before="0" w:beforeAutospacing="0" w:after="0" w:afterAutospacing="0" w:lineRule="auto" w:line="240"/>
        <w:rPr>
          <w:b w:val="0"/>
          <w:i w:val="0"/>
          <w:color w:val="000000"/>
          <w:sz w:val="20"/>
          <w:spacing w:val="0"/>
          <w:w w:val="100"/>
          <w:caps w:val="0"/>
        </w:rPr>
        <w:snapToGrid/>
        <w:textAlignment w:val="baseline"/>
      </w:pPr>
      <w:r>
        <w:rPr>
          <w:b w:val="0"/>
          <w:i w:val="0"/>
          <w:color w:val="000000"/>
          <w:sz w:val="20"/>
          <w:spacing w:val="0"/>
          <w:w w:val="100"/>
          <w:caps w:val="0"/>
        </w:rPr>
        <w:t/>
      </w:r>
    </w:p>
    <w:p>
      <w:pPr>
        <w:jc w:val="both"/>
        <w:spacing w:before="0" w:beforeAutospacing="0" w:after="0" w:afterAutospacing="0" w:lineRule="auto" w:line="240"/>
        <w:rPr>
          <w:b w:val="0"/>
          <w:i w:val="0"/>
          <w:color w:val="000000"/>
          <w:sz w:val="20"/>
          <w:spacing w:val="0"/>
          <w:w w:val="100"/>
          <w:caps w:val="0"/>
        </w:rPr>
        <w:snapToGrid/>
        <w:textAlignment w:val="baseline"/>
      </w:pPr>
      <w:r>
        <w:rPr>
          <w:b w:val="0"/>
          <w:i w:val="0"/>
          <w:color w:val="000000"/>
          <w:sz w:val="20"/>
          <w:spacing w:val="0"/>
          <w:w w:val="100"/>
          <w:caps w:val="0"/>
        </w:rPr>
        <w:t/>
      </w:r>
      <w:bookmarkStart w:id="0" w:name="_GoBack"/>
      <w:bookmarkEnd w:id="0"/>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2BD08"/>
    <w:multiLevelType w:val="singleLevel"/>
    <w:tmpl w:val="EEB2BD08"/>
    <w:lvl w:ilvl="0" w:tentative="0">
      <w:start w:val="1"/>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A40EB"/>
    <w:rsid w:val="00855277"/>
    <w:rsid w:val="328A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customStyle="1" w:styleId="5">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2021-06-03T04:45:00Z</dcterms:created>
  <dc:creator>swallow</dc:creator>
  <cp:lastModifiedBy>Administrator</cp:lastModifiedBy>
  <dcterms:modified xsi:type="dcterms:W3CDTF">2021-06-03T09:03:40Z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D9C9197B3B0E4D9CB436D4D60B3F3592</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val="en-US" w:eastAsia="zh-CN"/>
        </w:rPr>
        <w:t>潞安小学</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numPr>
          <w:ilvl w:val="0"/>
          <w:numId w:val="1"/>
        </w:num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部门主要职能</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一）全面贯彻执行党和国家的教育方针、政策、法规，自觉抵制各种违反教育方针、政策、法规的倾向，实施素质教育。坚持社会主义办学方向，努力培养德、智、体全面发展的社会主义事业的建设者和接班人。按教育规律办学，不断提高教育质量全面贯彻党的教育方针。严格执行新课程标准，坚持教书育人、管理育人、服务育人。搞好学校财产和师生的人生安全工作，为师生创造安全、温馨、和谐的工作和学习环境。</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（二）严格贯彻执行国家财政、财务，会计管理以及行政事业单位国有资产管理的法律、法规及各项方针政策，执行全县财政、财务、会计管理及行政事业单位国有资产管理等基础管理规章制度。</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三）编制本单位年度预决算草案并严格执行；并向上级主管部门和县财政局申报草案，由主管部门向财政局及县人民代表大会报告预算及其执行情况且向县人大常委会报告决算；深化部门预算改革，组织制定经费开支标准、定额，负责审核本单位的年度预决算.</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（四）确定本单位年度收入计划。</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（五）严格贯彻执行县国库管理制度、国库集中支付制度，负责审核和编制本单位预算和部门决算。</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（六）贯彻执行国家有关政府采购的政策，负责本单位采购工作；严格执行国家规定的开支标准和支出政策，制定本单位开支标准和支出政策。</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（七）负责制定并实施本单位关于资产管理的具体制度并执行。</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（八）执行县级政府性投资项目的财政拨款。</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（九）拟定本单位保障资金的财务管理制度且严格执行。</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（十）贯彻执行国家关于国内债务和政府外债管理的各项方针、政策、规章制度和管理办法。</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（十一）贯彻国家会计法规、准则和制度；服从县财政局对本单位会计人员的一切培训和学习计划。</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（十二）执行财税方针、政策、法律、法规，及时发现收支管理中的问题；提高服务水平。</w:t>
      </w:r>
    </w:p>
    <w:p>
      <w:pPr>
        <w:keepNext w:val="0"/>
        <w:keepLines w:val="0"/>
        <w:widowControl w:val="0"/>
        <w:suppressLineNumbers w:val="0"/>
        <w:spacing w:before="0" w:beforeAutospacing="0" w:after="0" w:afterAutospacing="0"/>
        <w:ind w:left="0" w:right="0" w:firstLine="537" w:firstLineChars="168"/>
        <w:jc w:val="both"/>
        <w:rPr>
          <w:rFonts w:hint="eastAsia" w:ascii="楷体" w:hAnsi="楷体" w:eastAsia="楷体" w:cstheme="minorEastAsia"/>
          <w:b/>
          <w:bCs w:val="0"/>
          <w:color w:val="auto"/>
          <w:sz w:val="32"/>
          <w:szCs w:val="32"/>
        </w:rPr>
      </w:pPr>
      <w:r>
        <w:rPr>
          <w:rFonts w:hint="eastAsia" w:ascii="仿宋" w:hAnsi="仿宋" w:eastAsia="仿宋" w:cs="仿宋"/>
          <w:color w:val="auto"/>
          <w:kern w:val="2"/>
          <w:sz w:val="32"/>
          <w:szCs w:val="32"/>
          <w:lang w:val="en-US" w:eastAsia="zh-CN" w:bidi="ar"/>
        </w:rPr>
        <w:t>（十三）本单位严格贯彻执行国家财政、税收、宏观经济等各项方针政策，执行全县财政、税收的发展战略、方针政策、中长期规划、改革方案及其它有关政策；认真执行上级部门提出运用财税政策，实施宏观调控和综合平衡社会财力的建议。</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ind w:firstLine="643" w:firstLineChars="200"/>
        <w:rPr>
          <w:rFonts w:hint="eastAsia" w:ascii="楷体" w:hAnsi="楷体" w:eastAsia="楷体" w:cstheme="minorEastAsia"/>
          <w:b/>
          <w:bCs w:val="0"/>
          <w:color w:val="auto"/>
          <w:sz w:val="32"/>
          <w:szCs w:val="32"/>
        </w:rPr>
      </w:pP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0"/>
          <w:szCs w:val="30"/>
          <w:lang w:val="en-US" w:eastAsia="zh-CN" w:bidi="ar"/>
        </w:rPr>
        <w:t>襄垣县潞安小学内设8个职能股室、中心，职能股室、中心分别为：办公室、教务处、教研室、政教处、后勤处、党办、工会、综治办、</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现有事业编制120名，实有115人，其中专业技术人员104名，工勤人员11人。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襄垣县潞安小学2020年度收入支出预算总计1546.33万元，与上年相比收、支预算总计各增加59.18万元，增长3.98%。主要原因是人员增加。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（一）收入预算总计1594.93万元。包括：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1．财政拨款收入预算总计1560.94万元。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（1）一般公共预算收入预算1546.33万元，与上年相比增加59.18万元，增长3.98%。主要原因是工资正常增长。</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4．上年结转资金预算数为48.6万元。与上年相比减少36.86 万元。减少43.13%。</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（二）支出预算总计1546.33万元。包括：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1．一般公共服务（类）支出1546.33万元，主要用于人员工资和学校日常开销。与上年相比增加59.18万元，增长3.98%。主要原因是人员增加。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此外，基本支出预算数为1546.33万元。与上年相比增加59.18万元，增长3.98%。主要原因是人员增加工资正常晋升。</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项目支出预算数为0万元。与上年相比减少0</w:t>
      </w:r>
    </w:p>
    <w:p>
      <w:pPr>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万元，减少0%。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 xml:space="preserve"> 0万元，较2020年增加（减少）0万元，其中：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 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72.17</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72.17</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2"/>
        <w:widowControl/>
        <w:spacing w:before="150" w:beforeAutospacing="0" w:after="150" w:afterAutospacing="0" w:line="465" w:lineRule="atLeast"/>
        <w:ind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截止2019年12月31日，本单位资产总额 791.29万元，其中流动资产 48.69万元，固定资产 675.85万元，在建工程 45.93万元，无形资产 20.82万元。固定资产当中，房屋构筑物 539.76万元，汽车无，单价200万元以上大型设备价值无，其他固定资产 136.09万元。 </w:t>
      </w:r>
    </w:p>
    <w:p>
      <w:pPr>
        <w:pStyle w:val="2"/>
        <w:widowControl/>
        <w:spacing w:before="150" w:beforeAutospacing="0" w:after="150" w:afterAutospacing="0" w:line="465" w:lineRule="atLeast"/>
        <w:ind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与上年相比，本年资产总额减少14.93万元。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我单位本年度项目支出93.74万元，其中：重点项目支出0万元。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0.1</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0.1</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val="en-US" w:eastAsia="zh-CN"/>
        </w:rPr>
        <w:t>襄垣县潞安小学</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p>
    <w:p>
      <w:pPr>
        <w:ind w:firstLine="640" w:firstLineChars="200"/>
        <w:rPr>
          <w:rFonts w:asciiTheme="minorEastAsia" w:hAnsiTheme="minorEastAsia" w:cstheme="minorEastAsia"/>
          <w:color w:val="auto"/>
          <w:sz w:val="32"/>
          <w:szCs w:val="32"/>
        </w:rPr>
      </w:pPr>
    </w:p>
    <w:p>
      <w:pPr>
        <w:rPr>
          <w:rFonts w:asciiTheme="minorEastAsia" w:hAnsiTheme="minorEastAsia" w:cstheme="minorEastAsia"/>
          <w:color w:val="auto"/>
          <w:sz w:val="32"/>
          <w:szCs w:val="32"/>
        </w:rPr>
      </w:pPr>
    </w:p>
    <w:p>
      <w:pPr>
        <w:rPr>
          <w:color w:val="auto"/>
        </w:rPr>
      </w:pPr>
    </w:p>
    <w:p>
      <w:pPr>
        <w:rPr>
          <w:color w:val="auto"/>
        </w:rPr>
      </w:pPr>
      <w:bookmarkStart w:id="0" w:name="_GoBack"/>
      <w:bookmarkEnd w:id="0"/>
    </w:p>
    <w:sectPr>
      <w:pgSz w:w="11906" w:h="16838"/>
      <w:pgMar w:top="1440" w:right="1800" w:bottom="1440" w:left="1800" w:header="851" w:footer="992" w:gutter="0"/>
      <w:pgNumType w:fmt="upperRoman" w:start="1"/>
      <w:cols w:space="425" w:num="1"/>
      <w:docGrid w:type="lines" w:linePitch="312" w:charSpace="0"/>
    </w:sectPr>
  </w:body>
</w:document>
</file>

<file path=treport/opRecord.xml>p_40(0,0,0,0,0,0,0,0,0);
</file>