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auto"/>
          <w:sz w:val="44"/>
          <w:szCs w:val="44"/>
          <w:lang w:eastAsia="zh-CN"/>
        </w:rPr>
      </w:pPr>
    </w:p>
    <w:p>
      <w:pPr>
        <w:jc w:val="center"/>
        <w:rPr>
          <w:rFonts w:hint="eastAsia" w:ascii="黑体" w:hAnsi="黑体" w:eastAsia="黑体" w:cstheme="minorEastAsia"/>
          <w:color w:val="auto"/>
          <w:sz w:val="44"/>
          <w:szCs w:val="44"/>
          <w:lang w:val="en-US" w:eastAsia="zh-CN"/>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黑体" w:hAnsi="黑体" w:eastAsia="黑体" w:cstheme="minorEastAsia"/>
          <w:color w:val="auto"/>
          <w:sz w:val="44"/>
          <w:szCs w:val="44"/>
          <w:lang w:eastAsia="zh-CN"/>
        </w:rPr>
        <w:t>西营镇中心校</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40" w:firstLineChars="200"/>
        <w:rPr>
          <w:rFonts w:hint="eastAsia"/>
          <w:b w:val="0"/>
          <w:bCs w:val="0"/>
          <w:color w:val="auto"/>
          <w:sz w:val="32"/>
          <w:szCs w:val="32"/>
          <w:lang w:val="en-US" w:eastAsia="zh-CN"/>
        </w:rPr>
      </w:pPr>
      <w:r>
        <w:rPr>
          <w:rFonts w:hint="eastAsia"/>
          <w:b w:val="0"/>
          <w:bCs w:val="0"/>
          <w:color w:val="auto"/>
          <w:sz w:val="32"/>
          <w:szCs w:val="32"/>
          <w:lang w:val="en-US" w:eastAsia="zh-CN"/>
        </w:rPr>
        <w:t>全面开展普及九年义务教育、幼儿教育、成人教育，促进基础教育发展。</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b w:val="0"/>
          <w:bCs w:val="0"/>
          <w:color w:val="auto"/>
          <w:kern w:val="2"/>
          <w:sz w:val="30"/>
          <w:szCs w:val="30"/>
          <w:lang w:val="en-US" w:eastAsia="zh-CN" w:bidi="ar"/>
        </w:rPr>
      </w:pPr>
      <w:r>
        <w:rPr>
          <w:rFonts w:hint="eastAsia" w:ascii="仿宋" w:hAnsi="仿宋" w:eastAsia="仿宋" w:cs="仿宋_GB2312"/>
          <w:b w:val="0"/>
          <w:bCs w:val="0"/>
          <w:color w:val="auto"/>
          <w:kern w:val="2"/>
          <w:sz w:val="30"/>
          <w:szCs w:val="30"/>
          <w:lang w:val="en-US" w:eastAsia="zh-CN" w:bidi="ar"/>
        </w:rPr>
        <w:t>襄垣县西营镇中心校，内设4个职能股室分别为：</w:t>
      </w:r>
      <w:r>
        <w:rPr>
          <w:rFonts w:hint="eastAsia"/>
          <w:b w:val="0"/>
          <w:bCs w:val="0"/>
          <w:color w:val="auto"/>
          <w:sz w:val="32"/>
          <w:szCs w:val="32"/>
          <w:lang w:val="en-US" w:eastAsia="zh-CN"/>
        </w:rPr>
        <w:t>教研室、综合办公室、安全办和工会</w:t>
      </w:r>
      <w:r>
        <w:rPr>
          <w:rFonts w:hint="eastAsia" w:ascii="仿宋" w:hAnsi="仿宋" w:eastAsia="仿宋" w:cs="仿宋_GB2312"/>
          <w:b w:val="0"/>
          <w:bCs w:val="0"/>
          <w:color w:val="auto"/>
          <w:kern w:val="2"/>
          <w:sz w:val="30"/>
          <w:szCs w:val="30"/>
          <w:lang w:val="en-US" w:eastAsia="zh-CN" w:bidi="ar"/>
        </w:rPr>
        <w:t xml:space="preserve">。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现有事业编制30名，事业专技人员30名。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襄垣县西营镇中心校2020年度收入、支出预算总计365.56万元，与上年相比收、支预算总计减少57.85 万元，减少13.66 %。主要原因是学生和教师人数减少。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（一）收入预算总计365.56万元。包括：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1．财政拨款收入预算总计359.65万元。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（1）一般公共预算收入预算359.65万元，与上年相比减少57.26万元，减少13.73%。主要原因是学生和教师人数减少。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2．财政专户管理资金收入预算总计5.61万元，与上年相比减少0.59万元，减少9.08%。主要原因是学生人数减少。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（二）支出预算总计365.56万元。包括：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1．教育支出277.84万元，主要用于教育业务活动支出。与上年相比减少33.88万元，减少10.87 %。主要原因是学生和教师人数减少。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2．社会保障和就业支出87.72万元，主要用于教师社会保险费用。与上年相比减少23.87万元，减少21.37%。主要原因是教师人数减少。</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32.42万元，较2019年减少4.33万元，其中：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12.24万元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0.3万元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1.8万元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办公费、差旅费、印刷费均有所下降。</w:t>
      </w:r>
      <w:bookmarkStart w:id="0" w:name="_GoBack"/>
      <w:bookmarkEnd w:id="0"/>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截止201</w:t>
      </w:r>
      <w:r>
        <w:rPr>
          <w:rFonts w:hint="eastAsia" w:ascii="仿宋_GB2312" w:hAnsi="仿宋_GB2312" w:eastAsia="仿宋_GB2312" w:cs="仿宋_GB2312"/>
          <w:sz w:val="32"/>
          <w:szCs w:val="32"/>
          <w:shd w:val="clear" w:color="auto" w:fill="FFFFFF"/>
          <w:lang w:val="en-US" w:eastAsia="zh-CN"/>
        </w:rPr>
        <w:t>9</w:t>
      </w:r>
      <w:r>
        <w:rPr>
          <w:rFonts w:hint="eastAsia" w:ascii="仿宋_GB2312" w:hAnsi="仿宋_GB2312" w:eastAsia="仿宋_GB2312" w:cs="仿宋_GB2312"/>
          <w:sz w:val="32"/>
          <w:szCs w:val="32"/>
          <w:shd w:val="clear" w:color="auto" w:fill="FFFFFF"/>
        </w:rPr>
        <w:t>年12月31日，本单位资产总额388.23万元，其中流动资产216.65万元，固定资产152.15 万元，在建工程4.43万元，无形资产15万元。固定资产当中，房屋构筑物79.14万元，汽车0 辆0 万元，单价200万元以上大型设备价值0万元，其他固定资产0万元。 </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与上年相比，本年资产总额增加</w:t>
      </w:r>
      <w:r>
        <w:rPr>
          <w:rFonts w:hint="eastAsia" w:ascii="仿宋_GB2312" w:hAnsi="仿宋_GB2312" w:eastAsia="仿宋_GB2312" w:cs="仿宋_GB2312"/>
          <w:sz w:val="32"/>
          <w:szCs w:val="32"/>
          <w:shd w:val="clear" w:color="auto" w:fill="FFFFFF"/>
          <w:lang w:val="en-US" w:eastAsia="zh-CN"/>
        </w:rPr>
        <w:t>0</w:t>
      </w:r>
      <w:r>
        <w:rPr>
          <w:rFonts w:hint="eastAsia" w:ascii="仿宋_GB2312" w:hAnsi="仿宋_GB2312" w:eastAsia="仿宋_GB2312" w:cs="仿宋_GB2312"/>
          <w:sz w:val="32"/>
          <w:szCs w:val="32"/>
          <w:shd w:val="clear" w:color="auto" w:fill="FFFFFF"/>
        </w:rPr>
        <w:t>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rPr>
        <w:t>本单位本年度无此项预算，故无此项说明情况</w:t>
      </w:r>
      <w:r>
        <w:rPr>
          <w:rFonts w:hint="eastAsia" w:ascii="仿宋_GB2312" w:eastAsia="仿宋_GB2312" w:hAnsiTheme="minorEastAsia" w:cstheme="minorEastAsia"/>
          <w:color w:val="auto"/>
          <w:sz w:val="32"/>
          <w:szCs w:val="32"/>
          <w:lang w:eastAsia="zh-CN"/>
        </w:rPr>
        <w:t>。</w:t>
      </w:r>
    </w:p>
    <w:p>
      <w:pPr>
        <w:ind w:firstLine="640" w:firstLineChars="200"/>
        <w:rPr>
          <w:rFonts w:hint="eastAsia" w:ascii="仿宋_GB2312" w:eastAsia="仿宋_GB2312" w:hAnsiTheme="minorEastAsia" w:cstheme="minorEastAsia"/>
          <w:color w:val="auto"/>
          <w:sz w:val="32"/>
          <w:szCs w:val="32"/>
          <w:lang w:eastAsia="zh-CN"/>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A9E4D0C"/>
    <w:rsid w:val="3F5C42DA"/>
    <w:rsid w:val="43E475B8"/>
    <w:rsid w:val="458B37F5"/>
    <w:rsid w:val="467D2DBE"/>
    <w:rsid w:val="48832669"/>
    <w:rsid w:val="489943BC"/>
    <w:rsid w:val="48E87EB6"/>
    <w:rsid w:val="4A4F3891"/>
    <w:rsid w:val="4AFA4BB2"/>
    <w:rsid w:val="4D9B3CEE"/>
    <w:rsid w:val="4EBA5260"/>
    <w:rsid w:val="4F427ADD"/>
    <w:rsid w:val="522F50B0"/>
    <w:rsid w:val="52567629"/>
    <w:rsid w:val="554C17B7"/>
    <w:rsid w:val="582B68F4"/>
    <w:rsid w:val="5D083F24"/>
    <w:rsid w:val="5D306324"/>
    <w:rsid w:val="5E0B45F3"/>
    <w:rsid w:val="60860A87"/>
    <w:rsid w:val="60B46440"/>
    <w:rsid w:val="61C6166E"/>
    <w:rsid w:val="635C762A"/>
    <w:rsid w:val="6FD93AE0"/>
    <w:rsid w:val="71715484"/>
    <w:rsid w:val="71FC58C7"/>
    <w:rsid w:val="7249546B"/>
    <w:rsid w:val="729F0AAD"/>
    <w:rsid w:val="75F45C0F"/>
    <w:rsid w:val="76B07944"/>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2021-06-05T11:06:59Z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