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heme="minorEastAsia"/>
          <w:sz w:val="44"/>
          <w:szCs w:val="44"/>
        </w:rPr>
      </w:pPr>
    </w:p>
    <w:p>
      <w:pPr>
        <w:jc w:val="center"/>
        <w:rPr>
          <w:rFonts w:ascii="黑体" w:hAnsi="黑体" w:eastAsia="黑体" w:cstheme="minorEastAsia"/>
          <w:sz w:val="44"/>
          <w:szCs w:val="44"/>
        </w:rPr>
      </w:pPr>
      <w:r>
        <w:rPr>
          <w:rFonts w:hint="eastAsia" w:ascii="黑体" w:hAnsi="黑体" w:eastAsia="黑体" w:cstheme="minorEastAsia"/>
          <w:sz w:val="44"/>
          <w:szCs w:val="44"/>
        </w:rPr>
        <w:t>襄垣县迎宾幼儿园</w:t>
      </w:r>
    </w:p>
    <w:p>
      <w:pPr>
        <w:jc w:val="center"/>
        <w:rPr>
          <w:rFonts w:ascii="黑体" w:hAnsi="黑体" w:eastAsia="黑体" w:cstheme="minorEastAsia"/>
          <w:sz w:val="44"/>
          <w:szCs w:val="44"/>
        </w:rPr>
      </w:pPr>
      <w:r>
        <w:rPr>
          <w:rFonts w:hint="eastAsia" w:ascii="黑体" w:hAnsi="黑体" w:eastAsia="黑体" w:cstheme="minorEastAsia"/>
          <w:sz w:val="44"/>
          <w:szCs w:val="44"/>
        </w:rPr>
        <w:t>2020年部门预算公开情况说明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pStyle w:val="10"/>
        <w:numPr>
          <w:ilvl w:val="0"/>
          <w:numId w:val="1"/>
        </w:numPr>
        <w:ind w:firstLineChars="0"/>
        <w:rPr>
          <w:rFonts w:ascii="楷体" w:hAnsi="楷体" w:eastAsia="楷体" w:cstheme="minorEastAsia"/>
          <w:b/>
          <w:sz w:val="32"/>
          <w:szCs w:val="32"/>
        </w:rPr>
      </w:pPr>
      <w:r>
        <w:rPr>
          <w:rFonts w:hint="eastAsia" w:ascii="楷体" w:hAnsi="楷体" w:eastAsia="楷体" w:cstheme="minorEastAsia"/>
          <w:b/>
          <w:sz w:val="32"/>
          <w:szCs w:val="32"/>
        </w:rPr>
        <w:t>部门主要职能</w:t>
      </w:r>
    </w:p>
    <w:p>
      <w:pPr>
        <w:ind w:firstLine="480" w:firstLineChars="150"/>
        <w:rPr>
          <w:rFonts w:ascii="仿宋" w:hAnsi="仿宋" w:eastAsia="仿宋" w:cs="仿宋"/>
          <w:color w:val="auto"/>
          <w:sz w:val="32"/>
          <w:szCs w:val="32"/>
          <w:lang w:bidi="ar"/>
        </w:rPr>
      </w:pPr>
      <w:r>
        <w:rPr>
          <w:rFonts w:hint="eastAsia" w:ascii="仿宋" w:hAnsi="仿宋" w:eastAsia="仿宋" w:cs="仿宋"/>
          <w:color w:val="auto"/>
          <w:sz w:val="32"/>
          <w:szCs w:val="32"/>
          <w:lang w:bidi="ar"/>
        </w:rPr>
        <w:t>为学龄前儿童提供保育和教育服务。幼儿教育；保育教育。</w:t>
      </w:r>
      <w:r>
        <w:rPr>
          <w:rFonts w:hint="eastAsia" w:ascii="仿宋" w:hAnsi="仿宋" w:eastAsia="仿宋" w:cs="宋体"/>
          <w:color w:val="auto"/>
          <w:kern w:val="0"/>
          <w:sz w:val="32"/>
          <w:szCs w:val="32"/>
        </w:rPr>
        <w:t>维护幼儿园的教学秩序，为幼儿创造良好的保教环境；积极稳妥地推进学前教育改革，按教育规律办事，不断提高幼儿教育质量。</w:t>
      </w:r>
    </w:p>
    <w:p>
      <w:pPr>
        <w:ind w:firstLine="482" w:firstLineChars="150"/>
        <w:rPr>
          <w:rFonts w:ascii="楷体" w:hAnsi="楷体" w:eastAsia="楷体" w:cstheme="minorEastAsia"/>
          <w:b/>
          <w:color w:val="auto"/>
          <w:sz w:val="32"/>
          <w:szCs w:val="32"/>
        </w:rPr>
      </w:pPr>
      <w:r>
        <w:rPr>
          <w:rFonts w:hint="eastAsia" w:ascii="楷体" w:hAnsi="楷体" w:eastAsia="楷体" w:cstheme="minorEastAsia"/>
          <w:b/>
          <w:color w:val="auto"/>
          <w:sz w:val="32"/>
          <w:szCs w:val="32"/>
        </w:rPr>
        <w:t>二、部门基本情况</w:t>
      </w:r>
    </w:p>
    <w:p>
      <w:pPr>
        <w:widowControl/>
        <w:spacing w:line="324" w:lineRule="atLeast"/>
        <w:ind w:left="540"/>
        <w:jc w:val="left"/>
        <w:rPr>
          <w:rFonts w:ascii="仿宋_GB2312" w:hAnsi="楷体" w:eastAsia="仿宋_GB2312" w:cs="宋体"/>
          <w:bCs/>
          <w:color w:val="auto"/>
          <w:kern w:val="0"/>
          <w:sz w:val="18"/>
          <w:szCs w:val="18"/>
        </w:rPr>
      </w:pPr>
      <w:r>
        <w:rPr>
          <w:rFonts w:hint="eastAsia" w:ascii="仿宋_GB2312" w:hAnsi="楷体" w:eastAsia="仿宋_GB2312" w:cs="宋体"/>
          <w:bCs/>
          <w:color w:val="auto"/>
          <w:kern w:val="0"/>
          <w:sz w:val="32"/>
          <w:szCs w:val="32"/>
        </w:rPr>
        <w:t>（一）机构设置情况</w:t>
      </w:r>
    </w:p>
    <w:p>
      <w:pPr>
        <w:ind w:firstLine="645"/>
        <w:rPr>
          <w:rFonts w:ascii="仿宋" w:hAnsi="仿宋" w:eastAsia="仿宋" w:cstheme="minorEastAsia"/>
          <w:color w:val="auto"/>
          <w:sz w:val="32"/>
          <w:szCs w:val="32"/>
        </w:rPr>
      </w:pPr>
      <w:r>
        <w:rPr>
          <w:rFonts w:hint="eastAsia" w:ascii="仿宋" w:hAnsi="仿宋" w:eastAsia="仿宋" w:cs="仿宋_GB2312"/>
          <w:color w:val="auto"/>
          <w:sz w:val="32"/>
          <w:szCs w:val="32"/>
          <w:lang w:bidi="ar"/>
        </w:rPr>
        <w:t>襄垣县迎宾幼儿园内设7个职能处室：办公室、保教处、教研室、保健室、安全办公室、教师、后勤处。</w:t>
      </w:r>
    </w:p>
    <w:p>
      <w:pPr>
        <w:ind w:firstLine="645"/>
        <w:rPr>
          <w:rFonts w:ascii="仿宋_GB2312" w:hAnsi="楷体" w:eastAsia="仿宋_GB2312" w:cs="宋体"/>
          <w:bCs/>
          <w:color w:val="auto"/>
          <w:kern w:val="0"/>
          <w:sz w:val="32"/>
          <w:szCs w:val="32"/>
        </w:rPr>
      </w:pPr>
      <w:r>
        <w:rPr>
          <w:rFonts w:hint="eastAsia" w:ascii="仿宋_GB2312" w:hAnsi="楷体" w:eastAsia="仿宋_GB2312" w:cs="宋体"/>
          <w:bCs/>
          <w:color w:val="auto"/>
          <w:kern w:val="0"/>
          <w:sz w:val="32"/>
          <w:szCs w:val="32"/>
        </w:rPr>
        <w:t>（二）人员情况说明</w:t>
      </w:r>
    </w:p>
    <w:p>
      <w:pPr>
        <w:ind w:firstLine="645"/>
        <w:rPr>
          <w:rFonts w:ascii="仿宋" w:hAnsi="仿宋" w:eastAsia="仿宋" w:cstheme="minorEastAsia"/>
          <w:color w:val="auto"/>
          <w:sz w:val="32"/>
          <w:szCs w:val="32"/>
        </w:rPr>
      </w:pPr>
      <w:r>
        <w:rPr>
          <w:rFonts w:hint="eastAsia" w:ascii="仿宋" w:hAnsi="仿宋" w:eastAsia="仿宋" w:cs="仿宋_GB2312"/>
          <w:color w:val="auto"/>
          <w:sz w:val="32"/>
          <w:szCs w:val="32"/>
          <w:lang w:bidi="ar"/>
        </w:rPr>
        <w:t>现有事业编制43名，实有在职人员40人。</w:t>
      </w:r>
    </w:p>
    <w:p>
      <w:pPr>
        <w:ind w:firstLine="480" w:firstLineChars="150"/>
        <w:rPr>
          <w:rFonts w:ascii="黑体" w:hAnsi="黑体" w:eastAsia="黑体" w:cstheme="minorEastAsia"/>
          <w:color w:val="auto"/>
          <w:sz w:val="32"/>
          <w:szCs w:val="32"/>
        </w:rPr>
      </w:pPr>
      <w:r>
        <w:rPr>
          <w:rFonts w:hint="eastAsia" w:ascii="黑体" w:hAnsi="黑体" w:eastAsia="黑体" w:cstheme="minorEastAsia"/>
          <w:color w:val="auto"/>
          <w:sz w:val="32"/>
          <w:szCs w:val="32"/>
        </w:rPr>
        <w:t>三、预算收支增减变化情况说明</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襄垣县迎宾幼儿园2020年度收入、支出预算总计 970.16 万元，与上年相比收、支预算总计各增加264.96 万元，增长37.57 %。主要原因是项目预算增加。其中：</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（一）收入预算总计   970.16 万元。包括：</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1．财政拨款收入预算总计  708.5  万元。</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（1）一般公共预算收入预算  708.5 万元，与上年相比增加259.39 万元，增长57.75 %。主要原因是工资正常增长、生均经费拨款增加等原因。</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（2）政府性基金收入预算  0 万元，与上年相比增加（减少）0 万元，增长（减少）  %。主要原因是本年度无此项预算。</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2．财政专户管理资金收入预算总计 261.66 万元。与上年相比增加5.57 万元，增长2.17 %。主要原因是幼儿收费增加。</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3．其他资金收入预算总计  0 万元。与上年相比增加（减少） 0 万元，增长（减少） 0 %。主要原因是本年度无此项预算。</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4．上年结转资金预算数为   0万元。与上年相比增加（减少）0 万元，增长（减少）  0%。主要原因是本年度无此项预算。</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（二）支出预算总计 970.16 万元。包括：</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1．一般公共服务（类）支出 970.16 万元，主要用于人员经费和日常公用支出。与上年相比增加264.96  万元，增长37.57  %。主要原因是人员经费增加、项目支出增加、。</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2．公共安全（类）支出  0万元。与上年相比增加（减少） 0 万元，增长（减少） 0 %。主要原因是本年度无此项支出。</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3．结转下年资金预算数为  0万元，主要原因是本年度无此项支出。</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此外，基本支出预算数为794.94  万元。与上年相比增加92.79 万元，增长13.21  %。主要原因是人员支出和商品服务支出增加。</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项目支出预算数为 175.22 万元。与上年相比增加172.17 万元，增长5644 %。主要原因是购置设备增加。</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单位预留机动经费预算数为 0 万元。与上年相比增加（减少）   0 万元，增长（减少） 0  %。主要原因是本年度无此项预算。</w:t>
      </w:r>
    </w:p>
    <w:p>
      <w:pPr>
        <w:ind w:firstLine="645"/>
        <w:rPr>
          <w:rFonts w:ascii="楷体" w:hAnsi="楷体" w:eastAsia="楷体" w:cstheme="minorEastAsia"/>
          <w:bCs/>
          <w:color w:val="auto"/>
          <w:sz w:val="32"/>
          <w:szCs w:val="32"/>
        </w:rPr>
      </w:pPr>
      <w:r>
        <w:rPr>
          <w:rFonts w:hint="eastAsia" w:ascii="楷体" w:hAnsi="楷体" w:eastAsia="楷体" w:cstheme="minorEastAsia"/>
          <w:bCs/>
          <w:color w:val="auto"/>
          <w:sz w:val="32"/>
          <w:szCs w:val="32"/>
        </w:rPr>
        <w:t>四、机关运行经费安排情况说明</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327.09 万元，较2019年增加79.71  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37 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2.8  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劳务费支出</w:t>
      </w:r>
      <w:r>
        <w:rPr>
          <w:rFonts w:hint="eastAsia" w:ascii="仿宋_GB2312" w:eastAsia="仿宋_GB2312" w:hAnsiTheme="minorEastAsia" w:cstheme="minorEastAsia"/>
          <w:color w:val="auto"/>
          <w:sz w:val="32"/>
          <w:szCs w:val="32"/>
          <w:lang w:val="en-US" w:eastAsia="zh-CN"/>
        </w:rPr>
        <w:t xml:space="preserve"> 113 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主要增减变化情况：办公费增加</w:t>
      </w:r>
      <w:r>
        <w:rPr>
          <w:rFonts w:hint="eastAsia" w:ascii="仿宋_GB2312" w:eastAsia="仿宋_GB2312" w:hAnsiTheme="minorEastAsia" w:cstheme="minorEastAsia"/>
          <w:color w:val="auto"/>
          <w:sz w:val="32"/>
          <w:szCs w:val="32"/>
          <w:lang w:val="en-US" w:eastAsia="zh-CN"/>
        </w:rPr>
        <w:t>22万，维修费增加56万，劳务费减少27万。</w:t>
      </w:r>
    </w:p>
    <w:p>
      <w:pPr>
        <w:ind w:firstLine="640" w:firstLineChars="200"/>
        <w:rPr>
          <w:rFonts w:ascii="楷体" w:hAnsi="楷体" w:eastAsia="楷体" w:cstheme="minorEastAsia"/>
          <w:bCs/>
          <w:color w:val="auto"/>
          <w:sz w:val="32"/>
          <w:szCs w:val="32"/>
        </w:rPr>
      </w:pPr>
      <w:bookmarkStart w:id="0" w:name="_GoBack"/>
      <w:bookmarkEnd w:id="0"/>
      <w:r>
        <w:rPr>
          <w:rFonts w:hint="eastAsia" w:ascii="仿宋_GB2312" w:eastAsia="仿宋_GB2312" w:hAnsiTheme="minorEastAsia" w:cstheme="minorEastAsia"/>
          <w:color w:val="auto"/>
          <w:sz w:val="32"/>
          <w:szCs w:val="32"/>
        </w:rPr>
        <w:t>五、</w:t>
      </w:r>
      <w:r>
        <w:rPr>
          <w:rFonts w:hint="eastAsia" w:ascii="楷体" w:hAnsi="楷体" w:eastAsia="楷体" w:cstheme="minorEastAsia"/>
          <w:bCs/>
          <w:color w:val="auto"/>
          <w:sz w:val="32"/>
          <w:szCs w:val="32"/>
        </w:rPr>
        <w:t>政府采购安排情况说明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本部门2020年度政府采购安排37.45万元，其中：政府采购货物支出37.45万元、政府采购工程支出0万元、政府采购服务支出0万元。授予中小企业合同金额0万元，占政府采购支出总额的0%。</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六、对专业性较强的名词进行解释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（一）财政拨款收入：指单位本年度从本级财政部门取得的财政拨款，包括一般公共预算财政拨款和政府性基金预算财政拨款。</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（二）上级补助收入：指事业单位从主管部门和上级单位取得的非财政补助收入。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（三）事业收入：指事业单位开展专业业务活动及其辅助活动取得的收入；事业单位收到的财政专户实际核拨的教育收费等资金在此反映。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（四）经营收入：指事业单位在专业业务活动及其辅助活动之外开展非独立核算经营活动取得的收入。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（五）附属单位缴款：指事业单位附属独立核算单位按照有关规定上缴的收入。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（六）其他收入：指单位取得的除上述“财政拨款收入”、“事业收入”、“经营收入”、“附属单位缴款”等以外的各项收入。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（七）用事业基金弥补收支差额：指事业单位用事业基金弥补当年收支差额的数额。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（八）年初结转和结余：指单位上年结转本年使用的基本支出结转、项目支出结转和结余和经营结余。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（九）结余分配：指事业单位按规定对非财政补助结余资金提取的职工福利基金、事业基金和缴纳的所得税，以及减少单位按规定应缴回的基本建设竣工项目结余资金。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（十一）基本支出：指为保障机构正常运转、完成日常工作任务而发生的人员支出和公用支出。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（十二）项目支出：指在基本支出之外为完成特定的行政任务或事业发展目标所发生的支出。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（十三）上缴上级支出：指事业单位按照财政部门和主管部门的规定上缴上级单位的支出。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（十四）经营支出：指事业单位在专业业务活动及其辅助活动之外开展非独立核算经营活动发生的支出。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（十五）对附属单位补助支出：指事业单位用财政补助收入之外的收入对附属单位补助发生的支出。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pStyle w:val="4"/>
        <w:widowControl/>
        <w:spacing w:before="150" w:beforeAutospacing="0" w:after="150" w:afterAutospacing="0" w:line="465" w:lineRule="atLeast"/>
        <w:ind w:firstLine="555"/>
        <w:jc w:val="both"/>
        <w:rPr>
          <w:rFonts w:ascii="楷体" w:hAnsi="楷体" w:eastAsia="楷体" w:cstheme="minorEastAsia"/>
          <w:bCs/>
          <w:color w:val="auto"/>
          <w:sz w:val="32"/>
          <w:szCs w:val="32"/>
        </w:rPr>
      </w:pPr>
      <w:r>
        <w:rPr>
          <w:rFonts w:hint="eastAsia" w:ascii="楷体" w:hAnsi="楷体" w:eastAsia="楷体" w:cstheme="minorEastAsia"/>
          <w:bCs/>
          <w:color w:val="auto"/>
          <w:sz w:val="32"/>
          <w:szCs w:val="32"/>
        </w:rPr>
        <w:t>七、国有资产占用情况说明</w:t>
      </w:r>
    </w:p>
    <w:p>
      <w:pPr>
        <w:pStyle w:val="4"/>
        <w:widowControl/>
        <w:spacing w:before="150" w:beforeAutospacing="0" w:after="150" w:afterAutospacing="0" w:line="465" w:lineRule="atLeast"/>
        <w:ind w:firstLine="555"/>
        <w:jc w:val="both"/>
        <w:rPr>
          <w:rFonts w:ascii="楷体" w:hAnsi="楷体" w:eastAsia="楷体" w:cstheme="minorEastAsia"/>
          <w:bCs/>
          <w:color w:val="auto"/>
          <w:sz w:val="32"/>
          <w:szCs w:val="32"/>
        </w:rPr>
      </w:pPr>
      <w:r>
        <w:rPr>
          <w:rFonts w:hint="eastAsia" w:ascii="仿宋_GB2312" w:hAnsi="仿宋_GB2312" w:eastAsia="仿宋_GB2312" w:cs="仿宋_GB2312"/>
          <w:color w:val="auto"/>
          <w:sz w:val="32"/>
          <w:szCs w:val="32"/>
          <w:shd w:val="clear" w:color="auto" w:fill="FFFFFF"/>
        </w:rPr>
        <w:t>截止2019年12月31日，本单位资产总额151.90 万元，其中流动资产29.22 万元，固定资产122.68 万元，在建工程 0万元，无形资产 0.35万元。固定资产当中，房屋构筑物6.38万元，汽车 0辆 0万元，单价200万元以上大型设备价值 0 万元，其他固定资产116.3 万元。 </w:t>
      </w:r>
    </w:p>
    <w:p>
      <w:pPr>
        <w:pStyle w:val="4"/>
        <w:widowControl/>
        <w:spacing w:before="150" w:beforeAutospacing="0" w:after="150" w:afterAutospacing="0" w:line="465" w:lineRule="atLeast"/>
        <w:ind w:firstLine="555"/>
        <w:jc w:val="both"/>
        <w:rPr>
          <w:rFonts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与上年相比，本年资产总额减少13.04万元。 </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八、重点项目预算的绩效目标等预算绩效情况说明</w:t>
      </w:r>
    </w:p>
    <w:p>
      <w:pPr>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本单位本年度无此项预算，故无此项说明情况。</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九、一般公共预算“三公”经费支出增减变化原因等说明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本部门2020年度一般公共预算“三公”经费预算数为0.2 万元， ，较2019年减少 0万元，下降 0 %，其中：</w:t>
      </w:r>
    </w:p>
    <w:p>
      <w:pPr>
        <w:numPr>
          <w:ilvl w:val="0"/>
          <w:numId w:val="2"/>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因公出国（境）支出年初预算数为0万元，因公出国（境）团组数为0，人数为0。较2018年增加（减少）0万元，增长（下降）0%。</w:t>
      </w:r>
    </w:p>
    <w:p>
      <w:pPr>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（二）公务接待费支出年初预算数为 0.2万元，较2019年减少 0万元，下降 0%。主要原因是：公务接待预算。</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2018年增加（减少）0万元，增长（下降）0%；公务用车运行维护费支出年初预算数为0万元，较2018年增加（减少）0万元，增长（下降）0%。本年度公务用车购置数0辆，公务用车保有量0辆。</w:t>
      </w:r>
    </w:p>
    <w:p>
      <w:pPr>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abstractNum w:abstractNumId="1">
    <w:nsid w:val="5CB97A25"/>
    <w:multiLevelType w:val="multilevel"/>
    <w:tmpl w:val="5CB97A25"/>
    <w:lvl w:ilvl="0" w:tentative="0">
      <w:start w:val="1"/>
      <w:numFmt w:val="japaneseCounting"/>
      <w:lvlText w:val="%1、"/>
      <w:lvlJc w:val="left"/>
      <w:pPr>
        <w:ind w:left="1260" w:hanging="720"/>
      </w:pPr>
      <w:rPr>
        <w:rFonts w:hint="default"/>
      </w:rPr>
    </w:lvl>
    <w:lvl w:ilvl="1" w:tentative="0">
      <w:start w:val="1"/>
      <w:numFmt w:val="lowerLetter"/>
      <w:lvlText w:val="%2)"/>
      <w:lvlJc w:val="left"/>
      <w:pPr>
        <w:ind w:left="1380" w:hanging="420"/>
      </w:pPr>
    </w:lvl>
    <w:lvl w:ilvl="2" w:tentative="0">
      <w:start w:val="1"/>
      <w:numFmt w:val="lowerRoman"/>
      <w:lvlText w:val="%3."/>
      <w:lvlJc w:val="right"/>
      <w:pPr>
        <w:ind w:left="1800" w:hanging="420"/>
      </w:pPr>
    </w:lvl>
    <w:lvl w:ilvl="3" w:tentative="0">
      <w:start w:val="1"/>
      <w:numFmt w:val="decimal"/>
      <w:lvlText w:val="%4."/>
      <w:lvlJc w:val="left"/>
      <w:pPr>
        <w:ind w:left="2220" w:hanging="420"/>
      </w:pPr>
    </w:lvl>
    <w:lvl w:ilvl="4" w:tentative="0">
      <w:start w:val="1"/>
      <w:numFmt w:val="lowerLetter"/>
      <w:lvlText w:val="%5)"/>
      <w:lvlJc w:val="left"/>
      <w:pPr>
        <w:ind w:left="2640" w:hanging="420"/>
      </w:pPr>
    </w:lvl>
    <w:lvl w:ilvl="5" w:tentative="0">
      <w:start w:val="1"/>
      <w:numFmt w:val="lowerRoman"/>
      <w:lvlText w:val="%6."/>
      <w:lvlJc w:val="right"/>
      <w:pPr>
        <w:ind w:left="3060" w:hanging="420"/>
      </w:pPr>
    </w:lvl>
    <w:lvl w:ilvl="6" w:tentative="0">
      <w:start w:val="1"/>
      <w:numFmt w:val="decimal"/>
      <w:lvlText w:val="%7."/>
      <w:lvlJc w:val="left"/>
      <w:pPr>
        <w:ind w:left="3480" w:hanging="420"/>
      </w:pPr>
    </w:lvl>
    <w:lvl w:ilvl="7" w:tentative="0">
      <w:start w:val="1"/>
      <w:numFmt w:val="lowerLetter"/>
      <w:lvlText w:val="%8)"/>
      <w:lvlJc w:val="left"/>
      <w:pPr>
        <w:ind w:left="3900" w:hanging="420"/>
      </w:pPr>
    </w:lvl>
    <w:lvl w:ilvl="8" w:tentative="0">
      <w:start w:val="1"/>
      <w:numFmt w:val="lowerRoman"/>
      <w:lvlText w:val="%9."/>
      <w:lvlJc w:val="right"/>
      <w:pPr>
        <w:ind w:left="43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E87EB6"/>
    <w:rsid w:val="0001019D"/>
    <w:rsid w:val="0011026C"/>
    <w:rsid w:val="00121209"/>
    <w:rsid w:val="001330DE"/>
    <w:rsid w:val="001C0185"/>
    <w:rsid w:val="002A78F3"/>
    <w:rsid w:val="002B74C9"/>
    <w:rsid w:val="003343CB"/>
    <w:rsid w:val="00356142"/>
    <w:rsid w:val="00432663"/>
    <w:rsid w:val="00481790"/>
    <w:rsid w:val="005F2480"/>
    <w:rsid w:val="00643BE9"/>
    <w:rsid w:val="00696E76"/>
    <w:rsid w:val="00751A1A"/>
    <w:rsid w:val="00760ADC"/>
    <w:rsid w:val="007634B0"/>
    <w:rsid w:val="00773E33"/>
    <w:rsid w:val="00831885"/>
    <w:rsid w:val="00835152"/>
    <w:rsid w:val="008524E1"/>
    <w:rsid w:val="0087795C"/>
    <w:rsid w:val="008934C9"/>
    <w:rsid w:val="008C542A"/>
    <w:rsid w:val="008D5CA9"/>
    <w:rsid w:val="00916F1B"/>
    <w:rsid w:val="009436C0"/>
    <w:rsid w:val="00980E2F"/>
    <w:rsid w:val="009B6471"/>
    <w:rsid w:val="00A61D97"/>
    <w:rsid w:val="00B41B2D"/>
    <w:rsid w:val="00B84099"/>
    <w:rsid w:val="00BD7E57"/>
    <w:rsid w:val="00C91007"/>
    <w:rsid w:val="00CC30DB"/>
    <w:rsid w:val="00CF14FA"/>
    <w:rsid w:val="00D25442"/>
    <w:rsid w:val="00E74F60"/>
    <w:rsid w:val="014A06B6"/>
    <w:rsid w:val="01742A72"/>
    <w:rsid w:val="01DA336E"/>
    <w:rsid w:val="05E42E29"/>
    <w:rsid w:val="061E09E3"/>
    <w:rsid w:val="06A43BA7"/>
    <w:rsid w:val="087A6196"/>
    <w:rsid w:val="0A0A7E8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4E70B6"/>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Char"/>
    <w:basedOn w:val="6"/>
    <w:link w:val="3"/>
    <w:qFormat/>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99"/>
    <w:rPr>
      <w:rFonts w:asciiTheme="minorHAnsi" w:hAnsiTheme="minorHAnsi" w:eastAsiaTheme="minorEastAsia" w:cstheme="minorBidi"/>
      <w:kern w:val="2"/>
      <w:sz w:val="18"/>
      <w:szCs w:val="18"/>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382AF0-B2E0-41CB-8539-DCECCA2495B9}">
  <ds:schemaRefs/>
</ds:datastoreItem>
</file>

<file path=docProps/app.xml><?xml version="1.0" encoding="utf-8"?>
<Properties xmlns="http://schemas.openxmlformats.org/officeDocument/2006/extended-properties" xmlns:vt="http://schemas.openxmlformats.org/officeDocument/2006/docPropsVTypes">
  <Template>Normal</Template>
  <Pages>7</Pages>
  <Words>434</Words>
  <Characters>2476</Characters>
  <Lines>20</Lines>
  <Paragraphs>5</Paragraphs>
  <TotalTime>4</TotalTime>
  <ScaleCrop>false</ScaleCrop>
  <LinksUpToDate>false</LinksUpToDate>
  <CharactersWithSpaces>2905</CharactersWithSpaces>
  <Application>WPS Office_11.1.0.9998_F1E327BC-269C-435d-A152-05C5408002CA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2021-06-04T12:57:04Z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y fmtid="{D5CDD505-2E9C-101B-9397-08002B2CF9AE}" pid="3" name="ICV">
    <vt:lpwstr>F8AC168E0CDC4D6BBB411B7F957A1AF8</vt:lpwstr>
  </property>
</Properties>
</file>