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000000" w:themeColor="text1"/>
          <w:sz w:val="44"/>
          <w:szCs w:val="44"/>
          <w:lang w:eastAsia="zh-CN"/>
          <w14:textFill>
            <w14:solidFill>
              <w14:schemeClr w14:val="tx1"/>
            </w14:solidFill>
          </w14:textFill>
        </w:rPr>
      </w:pPr>
    </w:p>
    <w:p>
      <w:pPr>
        <w:jc w:val="center"/>
        <w:rPr>
          <w:rFonts w:hint="eastAsia" w:ascii="黑体" w:hAnsi="黑体" w:eastAsia="黑体" w:cs="黑体"/>
          <w:b w:val="0"/>
          <w:bCs w:val="0"/>
          <w:color w:val="000000" w:themeColor="text1"/>
          <w:kern w:val="2"/>
          <w:sz w:val="36"/>
          <w:szCs w:val="36"/>
          <w:highlight w:val="none"/>
          <w:shd w:val="clear" w:color="auto" w:fill="auto"/>
          <w:lang w:val="en-US" w:eastAsia="zh-CN" w:bidi="ar"/>
          <w14:textFill>
            <w14:solidFill>
              <w14:schemeClr w14:val="tx1"/>
            </w14:solidFill>
          </w14:textFill>
        </w:rPr>
      </w:pPr>
      <w:r>
        <w:rPr>
          <w:rFonts w:hint="eastAsia" w:ascii="黑体" w:hAnsi="黑体" w:eastAsia="黑体" w:cs="黑体"/>
          <w:b w:val="0"/>
          <w:bCs w:val="0"/>
          <w:color w:val="000000" w:themeColor="text1"/>
          <w:kern w:val="2"/>
          <w:sz w:val="36"/>
          <w:szCs w:val="36"/>
          <w:highlight w:val="none"/>
          <w:shd w:val="clear" w:color="auto" w:fill="auto"/>
          <w:lang w:val="en-US" w:eastAsia="zh-CN" w:bidi="ar"/>
          <w14:textFill>
            <w14:solidFill>
              <w14:schemeClr w14:val="tx1"/>
            </w14:solidFill>
          </w14:textFill>
        </w:rPr>
        <w:t>襄垣县教师进修学校</w:t>
      </w:r>
    </w:p>
    <w:p>
      <w:pPr>
        <w:jc w:val="center"/>
        <w:rPr>
          <w:rFonts w:ascii="黑体" w:hAnsi="黑体" w:eastAsia="黑体" w:cstheme="minorEastAsia"/>
          <w:b w:val="0"/>
          <w:bCs w:val="0"/>
          <w:color w:val="000000" w:themeColor="text1"/>
          <w:sz w:val="36"/>
          <w:szCs w:val="36"/>
          <w:highlight w:val="none"/>
          <w:shd w:val="clear" w:color="auto" w:fill="auto"/>
          <w14:textFill>
            <w14:solidFill>
              <w14:schemeClr w14:val="tx1"/>
            </w14:solidFill>
          </w14:textFill>
        </w:rPr>
      </w:pPr>
      <w:r>
        <w:rPr>
          <w:rFonts w:hint="eastAsia" w:ascii="黑体" w:hAnsi="黑体" w:eastAsia="黑体" w:cstheme="minorEastAsia"/>
          <w:b w:val="0"/>
          <w:bCs w:val="0"/>
          <w:color w:val="000000" w:themeColor="text1"/>
          <w:sz w:val="36"/>
          <w:szCs w:val="36"/>
          <w:highlight w:val="none"/>
          <w:shd w:val="clear" w:color="auto" w:fill="auto"/>
          <w14:textFill>
            <w14:solidFill>
              <w14:schemeClr w14:val="tx1"/>
            </w14:solidFill>
          </w14:textFill>
        </w:rPr>
        <w:t>20</w:t>
      </w:r>
      <w:r>
        <w:rPr>
          <w:rFonts w:hint="eastAsia" w:ascii="黑体" w:hAnsi="黑体" w:eastAsia="黑体" w:cstheme="minorEastAsia"/>
          <w:b w:val="0"/>
          <w:bCs w:val="0"/>
          <w:color w:val="000000" w:themeColor="text1"/>
          <w:sz w:val="36"/>
          <w:szCs w:val="36"/>
          <w:highlight w:val="none"/>
          <w:shd w:val="clear" w:color="auto" w:fill="auto"/>
          <w:lang w:val="en-US" w:eastAsia="zh-CN"/>
          <w14:textFill>
            <w14:solidFill>
              <w14:schemeClr w14:val="tx1"/>
            </w14:solidFill>
          </w14:textFill>
        </w:rPr>
        <w:t>20</w:t>
      </w:r>
      <w:r>
        <w:rPr>
          <w:rFonts w:hint="eastAsia" w:ascii="黑体" w:hAnsi="黑体" w:eastAsia="黑体" w:cstheme="minorEastAsia"/>
          <w:b w:val="0"/>
          <w:bCs w:val="0"/>
          <w:color w:val="000000" w:themeColor="text1"/>
          <w:sz w:val="36"/>
          <w:szCs w:val="36"/>
          <w:highlight w:val="none"/>
          <w:shd w:val="clear" w:color="auto" w:fill="auto"/>
          <w14:textFill>
            <w14:solidFill>
              <w14:schemeClr w14:val="tx1"/>
            </w14:solidFill>
          </w14:textFill>
        </w:rPr>
        <w:t>年部门</w:t>
      </w:r>
      <w:r>
        <w:rPr>
          <w:rFonts w:hint="eastAsia" w:ascii="黑体" w:hAnsi="黑体" w:eastAsia="黑体" w:cstheme="minorEastAsia"/>
          <w:b w:val="0"/>
          <w:bCs w:val="0"/>
          <w:color w:val="000000" w:themeColor="text1"/>
          <w:sz w:val="36"/>
          <w:szCs w:val="36"/>
          <w:highlight w:val="none"/>
          <w:shd w:val="clear" w:color="auto" w:fill="auto"/>
          <w:lang w:eastAsia="zh-CN"/>
          <w14:textFill>
            <w14:solidFill>
              <w14:schemeClr w14:val="tx1"/>
            </w14:solidFill>
          </w14:textFill>
        </w:rPr>
        <w:t>预算</w:t>
      </w:r>
      <w:r>
        <w:rPr>
          <w:rFonts w:hint="eastAsia" w:ascii="黑体" w:hAnsi="黑体" w:eastAsia="黑体" w:cstheme="minorEastAsia"/>
          <w:b w:val="0"/>
          <w:bCs w:val="0"/>
          <w:color w:val="000000" w:themeColor="text1"/>
          <w:sz w:val="36"/>
          <w:szCs w:val="36"/>
          <w:highlight w:val="none"/>
          <w:shd w:val="clear" w:color="auto" w:fill="auto"/>
          <w14:textFill>
            <w14:solidFill>
              <w14:schemeClr w14:val="tx1"/>
            </w14:solidFill>
          </w14:textFill>
        </w:rPr>
        <w:t>公开</w:t>
      </w:r>
      <w:r>
        <w:rPr>
          <w:rFonts w:hint="eastAsia" w:ascii="黑体" w:hAnsi="黑体" w:eastAsia="黑体" w:cstheme="minorEastAsia"/>
          <w:b w:val="0"/>
          <w:bCs w:val="0"/>
          <w:color w:val="000000" w:themeColor="text1"/>
          <w:sz w:val="36"/>
          <w:szCs w:val="36"/>
          <w:highlight w:val="none"/>
          <w:shd w:val="clear" w:color="auto" w:fill="auto"/>
          <w:lang w:eastAsia="zh-CN"/>
          <w14:textFill>
            <w14:solidFill>
              <w14:schemeClr w14:val="tx1"/>
            </w14:solidFill>
          </w14:textFill>
        </w:rPr>
        <w:t>情况</w:t>
      </w:r>
      <w:r>
        <w:rPr>
          <w:rFonts w:hint="eastAsia" w:ascii="黑体" w:hAnsi="黑体" w:eastAsia="黑体" w:cstheme="minorEastAsia"/>
          <w:b w:val="0"/>
          <w:bCs w:val="0"/>
          <w:color w:val="000000" w:themeColor="text1"/>
          <w:sz w:val="36"/>
          <w:szCs w:val="36"/>
          <w:highlight w:val="none"/>
          <w:shd w:val="clear" w:color="auto" w:fill="auto"/>
          <w14:textFill>
            <w14:solidFill>
              <w14:schemeClr w14:val="tx1"/>
            </w14:solidFill>
          </w14:textFill>
        </w:rPr>
        <w:t>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r>
        <w:rPr>
          <w:rFonts w:hint="eastAsia" w:asciiTheme="minorEastAsia" w:hAnsiTheme="minorEastAsia" w:cstheme="minorEastAsia"/>
          <w:color w:val="000000" w:themeColor="text1"/>
          <w:sz w:val="32"/>
          <w:szCs w:val="32"/>
          <w14:textFill>
            <w14:solidFill>
              <w14:schemeClr w14:val="tx1"/>
            </w14:solidFill>
          </w14:textFill>
        </w:rPr>
        <w:t xml:space="preserve"> </w:t>
      </w:r>
    </w:p>
    <w:p>
      <w:pPr>
        <w:ind w:firstLine="643" w:firstLineChars="200"/>
        <w:rPr>
          <w:rFonts w:hint="eastAsia"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一、部门主要职能</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具体职能：为提高全县中小学教师的政治素质和业务素质，完成中小学教师的继续教育工作提供服务。</w:t>
      </w:r>
    </w:p>
    <w:p>
      <w:pPr>
        <w:ind w:firstLine="643" w:firstLineChars="200"/>
        <w:rPr>
          <w:rFonts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二、部门基本情况</w:t>
      </w:r>
    </w:p>
    <w:p>
      <w:pPr>
        <w:widowControl/>
        <w:spacing w:line="324" w:lineRule="atLeast"/>
        <w:ind w:left="540"/>
        <w:jc w:val="left"/>
        <w:rPr>
          <w:rFonts w:hint="eastAsia" w:ascii="仿宋_GB2312" w:hAnsi="楷体" w:eastAsia="仿宋_GB2312" w:cs="宋体"/>
          <w:b w:val="0"/>
          <w:bCs/>
          <w:color w:val="000000" w:themeColor="text1"/>
          <w:kern w:val="0"/>
          <w:sz w:val="18"/>
          <w:szCs w:val="18"/>
          <w:lang w:eastAsia="zh-CN"/>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（一）</w:t>
      </w:r>
      <w:r>
        <w:rPr>
          <w:rFonts w:hint="eastAsia" w:ascii="仿宋_GB2312" w:hAnsi="楷体" w:eastAsia="仿宋_GB2312" w:cs="宋体"/>
          <w:b w:val="0"/>
          <w:bCs/>
          <w:color w:val="000000" w:themeColor="text1"/>
          <w:kern w:val="0"/>
          <w:sz w:val="32"/>
          <w:szCs w:val="32"/>
          <w:lang w:eastAsia="zh-CN"/>
          <w14:textFill>
            <w14:solidFill>
              <w14:schemeClr w14:val="tx1"/>
            </w14:solidFill>
          </w14:textFill>
        </w:rPr>
        <w:t>机构设置情况</w:t>
      </w:r>
    </w:p>
    <w:p>
      <w:pPr>
        <w:ind w:firstLine="645"/>
        <w:rPr>
          <w:rFonts w:hint="default"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襄垣县教师进修学校内设8处室：校长室、副校长室、财务室、办公室、教研室、思政处、证书管理中心、工会。</w:t>
      </w:r>
    </w:p>
    <w:p>
      <w:pPr>
        <w:widowControl/>
        <w:spacing w:line="324" w:lineRule="atLeast"/>
        <w:ind w:left="540"/>
        <w:jc w:val="left"/>
        <w:rPr>
          <w:rFonts w:ascii="仿宋_GB2312" w:hAnsi="楷体" w:eastAsia="仿宋_GB2312" w:cs="宋体"/>
          <w:b w:val="0"/>
          <w:bCs/>
          <w:color w:val="000000" w:themeColor="text1"/>
          <w:kern w:val="0"/>
          <w:sz w:val="32"/>
          <w:szCs w:val="32"/>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（二）人员情况说明</w:t>
      </w:r>
    </w:p>
    <w:p>
      <w:pPr>
        <w:ind w:firstLine="645"/>
        <w:rPr>
          <w:rFonts w:hint="eastAsia" w:ascii="仿宋_GB2312" w:hAnsi="仿宋" w:eastAsia="仿宋_GB2312" w:cstheme="minorEastAsia"/>
          <w:color w:val="000000" w:themeColor="text1"/>
          <w:sz w:val="32"/>
          <w:szCs w:val="32"/>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现有事业编制18名，实有18人，其中事业工勤1人，事业人员17名，其他0人。</w:t>
      </w:r>
    </w:p>
    <w:p>
      <w:pPr>
        <w:ind w:firstLine="643" w:firstLineChars="200"/>
        <w:rPr>
          <w:rFonts w:hint="eastAsia" w:ascii="楷体" w:hAnsi="楷体" w:eastAsia="楷体" w:cstheme="minorEastAsia"/>
          <w:b/>
          <w:bCs w:val="0"/>
          <w:color w:val="000000" w:themeColor="text1"/>
          <w:sz w:val="32"/>
          <w:szCs w:val="32"/>
          <w:lang w:eastAsia="zh-CN"/>
          <w14:textFill>
            <w14:solidFill>
              <w14:schemeClr w14:val="tx1"/>
            </w14:solidFill>
          </w14:textFill>
        </w:rPr>
      </w:pPr>
      <w:bookmarkStart w:id="0" w:name="_GoBack"/>
      <w:r>
        <w:rPr>
          <w:rFonts w:hint="eastAsia" w:ascii="楷体" w:hAnsi="楷体" w:eastAsia="楷体" w:cstheme="minorEastAsia"/>
          <w:b/>
          <w:bCs w:val="0"/>
          <w:color w:val="000000" w:themeColor="text1"/>
          <w:sz w:val="32"/>
          <w:szCs w:val="32"/>
          <w:lang w:eastAsia="zh-CN"/>
          <w14:textFill>
            <w14:solidFill>
              <w14:schemeClr w14:val="tx1"/>
            </w14:solidFill>
          </w14:textFill>
        </w:rPr>
        <w:t>三、预算收支增减变化情况说明</w:t>
      </w:r>
    </w:p>
    <w:bookmarkEnd w:id="0"/>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襄垣县教师进修学校</w:t>
      </w: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2020年度收入、支出预算总计237.21万元，与上年相比收、支预算总计增加22.44万元，增长10.45%。主要原因是工资正常增长、人员调动等原因。其中：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（一）收入预算总计237.21万元。包括：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1．财政拨款收入预算总计225.31万元。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（1）一般公共预算收入预算225.31万元，与上年相比增加20.44万元，增长9.98 %。主要原因是工资正常增长、人员调动等原因、一名退休人员死亡抚恤金。</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（2）政府性基金收入预算0万元，与上年相比无变动。</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2．财政专户管理资金收入预算总计11.9万元，与上年相比增加2万元，增长20.2 %。主要原因是招生数增加。</w:t>
      </w:r>
    </w:p>
    <w:p>
      <w:pPr>
        <w:ind w:firstLine="645"/>
        <w:rPr>
          <w:rFonts w:hint="default"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 xml:space="preserve">  3．其他资金收入预算总计0万元，本年度无此项预算。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4．上年结转资金预算数为0万元。与上年相比无变化。（二）支出预算总计237.21万元。包括：</w:t>
      </w:r>
    </w:p>
    <w:p>
      <w:pPr>
        <w:ind w:firstLine="645"/>
        <w:rPr>
          <w:rFonts w:hint="default"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1．一般公共服务（类）支出225.31万元，主要用于人员工资。与上年相比增加20.44万元，增长9.68%。主要原因是人员工资正常增加，一名退休人员死亡抚恤金。</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2．公共安全（类）支出本年度无此项预算，故无此项说明。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3．结转下年资金预算数为0万元，主要原因是本年度无此项预算，故无此项说明。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此外，基本支出预算数为237.21万元。与上年相比增加22.44万元，增长10.45 %。主要原因是人员工资正常增加、一名退休人员死亡抚恤金。</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项目支出预算数为0万元。主要原因是本年度无此项预算，故无此项说明。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单位预留机动经费预算数为0万元。主要原因是本年度无此项预算，故无此项说明。</w:t>
      </w:r>
    </w:p>
    <w:p>
      <w:pPr>
        <w:numPr>
          <w:ilvl w:val="0"/>
          <w:numId w:val="1"/>
        </w:num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机关运行经费安排情况说明</w:t>
      </w:r>
    </w:p>
    <w:p>
      <w:pPr>
        <w:ind w:firstLine="645"/>
        <w:rPr>
          <w:rFonts w:hint="default"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10.4万元，较2019年增加0.5万元，其中：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1.2万元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0.6万元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val="en-US" w:eastAsia="zh-CN"/>
        </w:rPr>
        <w:t>1万元、咨询费0.1万元、水费0.3万元、</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电费0.6万元、邮电费0.15万元、维修费0.6万元、培训费0.2万元、劳务费2万元、福利费0.1万元、工会经费0.9万元、其他商品和服务支出3.35万元</w:t>
      </w:r>
      <w:r>
        <w:rPr>
          <w:rFonts w:hint="eastAsia" w:ascii="仿宋_GB2312" w:eastAsia="仿宋_GB2312" w:hAnsiTheme="minorEastAsia" w:cstheme="minorEastAsia"/>
          <w:color w:val="000000" w:themeColor="text1"/>
          <w:sz w:val="32"/>
          <w:szCs w:val="32"/>
          <w14:textFill>
            <w14:solidFill>
              <w14:schemeClr w14:val="tx1"/>
            </w14:solidFill>
          </w14:textFill>
        </w:rPr>
        <w:t>。</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增加原因是招生数增加，各项费用都有所增加。</w:t>
      </w:r>
    </w:p>
    <w:p>
      <w:pPr>
        <w:ind w:firstLine="640" w:firstLineChars="200"/>
        <w:rPr>
          <w:rFonts w:hint="eastAsia" w:ascii="楷体" w:hAnsi="楷体" w:eastAsia="楷体" w:cstheme="minorEastAsia"/>
          <w:b w:val="0"/>
          <w:bCs/>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楷体" w:hAnsi="楷体" w:eastAsia="楷体" w:cstheme="minorEastAsia"/>
          <w:b w:val="0"/>
          <w:bCs/>
          <w:color w:val="000000" w:themeColor="text1"/>
          <w:sz w:val="32"/>
          <w:szCs w:val="32"/>
          <w14:textFill>
            <w14:solidFill>
              <w14:schemeClr w14:val="tx1"/>
            </w14:solidFill>
          </w14:textFill>
        </w:rPr>
        <w:t>政府采购</w:t>
      </w:r>
      <w:r>
        <w:rPr>
          <w:rFonts w:hint="eastAsia" w:ascii="楷体" w:hAnsi="楷体" w:eastAsia="楷体" w:cstheme="minorEastAsia"/>
          <w:b w:val="0"/>
          <w:bCs/>
          <w:color w:val="000000" w:themeColor="text1"/>
          <w:sz w:val="32"/>
          <w:szCs w:val="32"/>
          <w:lang w:eastAsia="zh-CN"/>
          <w14:textFill>
            <w14:solidFill>
              <w14:schemeClr w14:val="tx1"/>
            </w14:solidFill>
          </w14:textFill>
        </w:rPr>
        <w:t>安排</w:t>
      </w:r>
      <w:r>
        <w:rPr>
          <w:rFonts w:hint="eastAsia" w:ascii="楷体" w:hAnsi="楷体" w:eastAsia="楷体" w:cstheme="minorEastAsia"/>
          <w:b w:val="0"/>
          <w:bCs/>
          <w:color w:val="000000" w:themeColor="text1"/>
          <w:sz w:val="32"/>
          <w:szCs w:val="32"/>
          <w14:textFill>
            <w14:solidFill>
              <w14:schemeClr w14:val="tx1"/>
            </w14:solidFill>
          </w14:textFill>
        </w:rPr>
        <w:t>情况说明</w:t>
      </w:r>
    </w:p>
    <w:p>
      <w:pPr>
        <w:numPr>
          <w:ilvl w:val="0"/>
          <w:numId w:val="0"/>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1.5</w:t>
      </w:r>
      <w:r>
        <w:rPr>
          <w:rFonts w:hint="eastAsia" w:ascii="仿宋_GB2312" w:eastAsia="仿宋_GB2312" w:hAnsiTheme="minorEastAsia" w:cstheme="minorEastAsia"/>
          <w:color w:val="000000" w:themeColor="text1"/>
          <w:sz w:val="32"/>
          <w:szCs w:val="32"/>
          <w14:textFill>
            <w14:solidFill>
              <w14:schemeClr w14:val="tx1"/>
            </w14:solidFill>
          </w14:textFill>
        </w:rPr>
        <w:t>万元，其中：政府采购货物支出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1.5</w:t>
      </w:r>
      <w:r>
        <w:rPr>
          <w:rFonts w:hint="eastAsia" w:ascii="仿宋_GB2312" w:eastAsia="仿宋_GB2312" w:hAnsiTheme="minorEastAsia" w:cstheme="minorEastAsia"/>
          <w:color w:val="000000" w:themeColor="text1"/>
          <w:sz w:val="32"/>
          <w:szCs w:val="32"/>
          <w14:textFill>
            <w14:solidFill>
              <w14:schemeClr w14:val="tx1"/>
            </w14:solidFill>
          </w14:textFill>
        </w:rPr>
        <w:t>万元、政府采购工程支出0万元、政府采购服务支出0万元。授予中小企业合同金额0万元。</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六</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对专业性较强的名词进行解释</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（一）</w:t>
      </w:r>
      <w:r>
        <w:rPr>
          <w:rFonts w:hint="eastAsia" w:ascii="仿宋_GB2312" w:eastAsia="仿宋_GB2312" w:hAnsiTheme="minorEastAsia" w:cstheme="minorEastAsia"/>
          <w:color w:val="000000" w:themeColor="text1"/>
          <w:sz w:val="32"/>
          <w:szCs w:val="32"/>
          <w14:textFill>
            <w14:solidFill>
              <w14:schemeClr w14:val="tx1"/>
            </w14:solidFill>
          </w14:textFill>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（二）</w:t>
      </w:r>
      <w:r>
        <w:rPr>
          <w:rFonts w:hint="eastAsia" w:ascii="仿宋_GB2312" w:eastAsia="仿宋_GB2312" w:hAnsiTheme="minorEastAsia" w:cstheme="minorEastAsia"/>
          <w:color w:val="000000" w:themeColor="text1"/>
          <w:sz w:val="32"/>
          <w:szCs w:val="32"/>
          <w14:textFill>
            <w14:solidFill>
              <w14:schemeClr w14:val="tx1"/>
            </w14:solidFill>
          </w14:textFill>
        </w:rPr>
        <w:t>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（三）</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（四）</w:t>
      </w:r>
      <w:r>
        <w:rPr>
          <w:rFonts w:hint="eastAsia" w:ascii="仿宋_GB2312" w:eastAsia="仿宋_GB2312" w:hAnsiTheme="minorEastAsia" w:cstheme="minorEastAsia"/>
          <w:color w:val="000000" w:themeColor="text1"/>
          <w:sz w:val="32"/>
          <w:szCs w:val="32"/>
          <w14:textFill>
            <w14:solidFill>
              <w14:schemeClr w14:val="tx1"/>
            </w14:solidFill>
          </w14:textFill>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仿宋_GB2312" w:eastAsia="仿宋_GB2312" w:hAnsiTheme="minorEastAsia" w:cstheme="minorEastAsia"/>
          <w:color w:val="000000" w:themeColor="text1"/>
          <w:sz w:val="32"/>
          <w:szCs w:val="32"/>
          <w14:textFill>
            <w14:solidFill>
              <w14:schemeClr w14:val="tx1"/>
            </w14:solidFill>
          </w14:textFill>
        </w:rPr>
        <w:t>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（六）</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（七）</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（八）</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（九）</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（十）</w:t>
      </w:r>
      <w:r>
        <w:rPr>
          <w:rFonts w:hint="eastAsia" w:ascii="仿宋_GB2312" w:eastAsia="仿宋_GB2312" w:hAnsiTheme="minorEastAsia" w:cstheme="minorEastAsia"/>
          <w:color w:val="000000" w:themeColor="text1"/>
          <w:sz w:val="32"/>
          <w:szCs w:val="32"/>
          <w14:textFill>
            <w14:solidFill>
              <w14:schemeClr w14:val="tx1"/>
            </w14:solidFill>
          </w14:textFill>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十一</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十二</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十四</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十五</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七、国有</w:t>
      </w:r>
      <w:r>
        <w:rPr>
          <w:rFonts w:hint="eastAsia" w:ascii="楷体" w:hAnsi="楷体" w:eastAsia="楷体" w:cstheme="minorEastAsia"/>
          <w:b w:val="0"/>
          <w:bCs/>
          <w:color w:val="000000" w:themeColor="text1"/>
          <w:sz w:val="32"/>
          <w:szCs w:val="32"/>
          <w:lang w:val="en-US" w:eastAsia="zh-CN"/>
          <w14:textFill>
            <w14:solidFill>
              <w14:schemeClr w14:val="tx1"/>
            </w14:solidFill>
          </w14:textFill>
        </w:rPr>
        <w:t>资产占用情况说明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本单位本年度</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无此项预算，故无此项说明。</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八、重点项目预算的绩效目标等预算绩效情况说明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本单位本年度</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无此项预算，故无此项说明。</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九、</w:t>
      </w:r>
      <w:r>
        <w:rPr>
          <w:rFonts w:hint="eastAsia" w:ascii="楷体" w:hAnsi="楷体" w:eastAsia="楷体" w:cstheme="minorEastAsia"/>
          <w:b w:val="0"/>
          <w:bCs/>
          <w:color w:val="000000" w:themeColor="text1"/>
          <w:sz w:val="32"/>
          <w:szCs w:val="32"/>
          <w14:textFill>
            <w14:solidFill>
              <w14:schemeClr w14:val="tx1"/>
            </w14:solidFill>
          </w14:textFill>
        </w:rPr>
        <w:t>一般公共预算“三公”经费支出</w:t>
      </w:r>
      <w:r>
        <w:rPr>
          <w:rFonts w:hint="eastAsia" w:ascii="楷体" w:hAnsi="楷体" w:eastAsia="楷体" w:cstheme="minorEastAsia"/>
          <w:b w:val="0"/>
          <w:bCs/>
          <w:color w:val="000000" w:themeColor="text1"/>
          <w:sz w:val="32"/>
          <w:szCs w:val="32"/>
          <w:lang w:eastAsia="zh-CN"/>
          <w14:textFill>
            <w14:solidFill>
              <w14:schemeClr w14:val="tx1"/>
            </w14:solidFill>
          </w14:textFill>
        </w:rPr>
        <w:t>增减变化原因等说明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年度一般公共预算“三公”经费预算数为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w:t>
      </w:r>
      <w:r>
        <w:rPr>
          <w:rFonts w:hint="eastAsia" w:ascii="仿宋_GB2312" w:eastAsia="仿宋_GB2312" w:hAnsiTheme="minorEastAsia" w:cstheme="minorEastAsia"/>
          <w:color w:val="000000" w:themeColor="text1"/>
          <w:sz w:val="32"/>
          <w:szCs w:val="32"/>
          <w14:textFill>
            <w14:solidFill>
              <w14:schemeClr w14:val="tx1"/>
            </w14:solidFill>
          </w14:textFill>
        </w:rPr>
        <w:t>万元，</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w:t>
      </w:r>
      <w:r>
        <w:rPr>
          <w:rFonts w:hint="eastAsia" w:ascii="仿宋_GB2312" w:eastAsia="仿宋_GB2312" w:hAnsiTheme="minorEastAsia" w:cstheme="minorEastAsia"/>
          <w:color w:val="000000" w:themeColor="text1"/>
          <w:sz w:val="32"/>
          <w:szCs w:val="32"/>
          <w14:textFill>
            <w14:solidFill>
              <w14:schemeClr w14:val="tx1"/>
            </w14:solidFill>
          </w14:textFill>
        </w:rPr>
        <w:t>，较20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w:t>
      </w:r>
      <w:r>
        <w:rPr>
          <w:rFonts w:hint="eastAsia" w:ascii="仿宋_GB2312" w:eastAsia="仿宋_GB2312" w:hAnsiTheme="minorEastAsia" w:cstheme="minorEastAsia"/>
          <w:color w:val="000000" w:themeColor="text1"/>
          <w:sz w:val="32"/>
          <w:szCs w:val="32"/>
          <w14:textFill>
            <w14:solidFill>
              <w14:schemeClr w14:val="tx1"/>
            </w14:solidFill>
          </w14:textFill>
        </w:rPr>
        <w:t>%，其中：</w:t>
      </w:r>
    </w:p>
    <w:p>
      <w:pPr>
        <w:numPr>
          <w:ilvl w:val="0"/>
          <w:numId w:val="2"/>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因公出国（境）支出年初预算数为0万元，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因公出国（境）团组数为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0，人数为0。</w:t>
      </w:r>
      <w:r>
        <w:rPr>
          <w:rFonts w:hint="eastAsia" w:ascii="仿宋_GB2312" w:eastAsia="仿宋_GB2312" w:hAnsiTheme="minorEastAsia" w:cstheme="minorEastAsia"/>
          <w:color w:val="000000" w:themeColor="text1"/>
          <w:sz w:val="32"/>
          <w:szCs w:val="32"/>
          <w14:textFill>
            <w14:solidFill>
              <w14:schemeClr w14:val="tx1"/>
            </w14:solidFill>
          </w14:textFill>
        </w:rPr>
        <w:t>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p>
    <w:p>
      <w:pPr>
        <w:ind w:firstLine="645"/>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（二）公务接待费支出年初预算数为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w:t>
      </w:r>
      <w:r>
        <w:rPr>
          <w:rFonts w:hint="eastAsia" w:ascii="仿宋_GB2312" w:eastAsia="仿宋_GB2312" w:hAnsiTheme="minorEastAsia" w:cstheme="minorEastAsia"/>
          <w:color w:val="000000" w:themeColor="text1"/>
          <w:sz w:val="32"/>
          <w:szCs w:val="32"/>
          <w14:textFill>
            <w14:solidFill>
              <w14:schemeClr w14:val="tx1"/>
            </w14:solidFill>
          </w14:textFill>
        </w:rPr>
        <w:t>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w:t>
      </w:r>
      <w:r>
        <w:rPr>
          <w:rFonts w:hint="eastAsia" w:ascii="仿宋_GB2312" w:eastAsia="仿宋_GB2312" w:hAnsiTheme="minorEastAsia" w:cstheme="minorEastAsia"/>
          <w:color w:val="000000" w:themeColor="text1"/>
          <w:sz w:val="32"/>
          <w:szCs w:val="32"/>
          <w14:textFill>
            <w14:solidFill>
              <w14:schemeClr w14:val="tx1"/>
            </w14:solidFill>
          </w14:textFill>
        </w:rPr>
        <w:t>%。主要原因是</w:t>
      </w: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主要原因是</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本年度无此项预算，故无此项说明。</w:t>
      </w:r>
    </w:p>
    <w:p>
      <w:pPr>
        <w:ind w:firstLine="640" w:firstLineChars="200"/>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（三）公务用车购置及运行维护费支出0万元，其中公务用车购置年初预算数为0万元，较201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年增加（减少）0万元，增长（下降）0%；公务用车运行维护费支出年初预算数为0万元，较201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本年度公务用车购置数</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0辆，公务用车保有量0辆。</w:t>
      </w:r>
    </w:p>
    <w:p>
      <w:pPr>
        <w:ind w:firstLine="640" w:firstLineChars="200"/>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十、政府性基金预算支出预算情况说明</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（反映部门年度政府性基金支出预算安排情况。政府性基金支出安排数应与《部门收支预算总表》的政府性基金收入数一致，并按照政府收支分类科目的功能分类“项”级细化列示。）</w:t>
      </w:r>
    </w:p>
    <w:p>
      <w:pPr>
        <w:ind w:firstLine="60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襄垣县教师进修学校</w:t>
      </w:r>
      <w:r>
        <w:rPr>
          <w:rFonts w:hint="eastAsia" w:ascii="仿宋_GB2312" w:eastAsia="仿宋_GB2312" w:hAnsiTheme="minorEastAsia" w:cstheme="minorEastAsia"/>
          <w:color w:val="000000" w:themeColor="text1"/>
          <w:sz w:val="32"/>
          <w:szCs w:val="32"/>
          <w14:textFill>
            <w14:solidFill>
              <w14:schemeClr w14:val="tx1"/>
            </w14:solidFill>
          </w14:textFill>
        </w:rPr>
        <w:t>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年政府性基金支出预算</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6050B3"/>
    <w:multiLevelType w:val="singleLevel"/>
    <w:tmpl w:val="986050B3"/>
    <w:lvl w:ilvl="0" w:tentative="0">
      <w:start w:val="4"/>
      <w:numFmt w:val="chineseCounting"/>
      <w:suff w:val="nothing"/>
      <w:lvlText w:val="%1、"/>
      <w:lvlJc w:val="left"/>
      <w:rPr>
        <w:rFonts w:hint="eastAsia"/>
      </w:rPr>
    </w:lvl>
  </w:abstractNum>
  <w:abstractNum w:abstractNumId="1">
    <w:nsid w:val="FF867C84"/>
    <w:multiLevelType w:val="singleLevel"/>
    <w:tmpl w:val="FF867C84"/>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BD64C00"/>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4B4222"/>
    <w:rsid w:val="458B37F5"/>
    <w:rsid w:val="467D2DBE"/>
    <w:rsid w:val="48832669"/>
    <w:rsid w:val="48E87EB6"/>
    <w:rsid w:val="4A4F3891"/>
    <w:rsid w:val="4AFA4BB2"/>
    <w:rsid w:val="4D9B3CEE"/>
    <w:rsid w:val="4EBA5260"/>
    <w:rsid w:val="522F50B0"/>
    <w:rsid w:val="52567629"/>
    <w:rsid w:val="582B68F4"/>
    <w:rsid w:val="59446318"/>
    <w:rsid w:val="5B2051F5"/>
    <w:rsid w:val="5D083F24"/>
    <w:rsid w:val="5D306324"/>
    <w:rsid w:val="5E0B45F3"/>
    <w:rsid w:val="60860A87"/>
    <w:rsid w:val="60B46440"/>
    <w:rsid w:val="61C6166E"/>
    <w:rsid w:val="635C762A"/>
    <w:rsid w:val="6F6A2B3F"/>
    <w:rsid w:val="6FD93AE0"/>
    <w:rsid w:val="71715484"/>
    <w:rsid w:val="71FC58C7"/>
    <w:rsid w:val="7249546B"/>
    <w:rsid w:val="729F0AAD"/>
    <w:rsid w:val="75F45C0F"/>
    <w:rsid w:val="7B891855"/>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7</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2021-06-05T08:09:03Z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