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val="en-US"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能源局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(一)贯彻落实国家、省、市和县有关能源工作的法律、</w:t>
      </w:r>
      <w:r>
        <w:rPr>
          <w:rFonts w:hint="eastAsia" w:ascii="仿宋_GB2312" w:hAnsi="仿宋_GB2312" w:eastAsia="仿宋_GB2312" w:cs="仿宋_GB2312"/>
          <w:color w:val="auto"/>
          <w:sz w:val="32"/>
          <w:szCs w:val="32"/>
          <w:lang w:val="en-US" w:eastAsia="zh-CN"/>
        </w:rPr>
        <w:t>法</w:t>
      </w:r>
      <w:r>
        <w:rPr>
          <w:rFonts w:hint="eastAsia" w:ascii="仿宋_GB2312" w:hAnsi="仿宋_GB2312" w:eastAsia="仿宋_GB2312" w:cs="仿宋_GB2312"/>
          <w:color w:val="auto"/>
          <w:sz w:val="32"/>
          <w:szCs w:val="32"/>
        </w:rPr>
        <w:t>规和政策，研究订全县能源发展战略、</w:t>
      </w:r>
      <w:r>
        <w:rPr>
          <w:rFonts w:hint="eastAsia" w:ascii="仿宋_GB2312" w:hAnsi="仿宋_GB2312" w:eastAsia="仿宋_GB2312" w:cs="仿宋_GB2312"/>
          <w:color w:val="auto"/>
          <w:sz w:val="32"/>
          <w:szCs w:val="32"/>
          <w:lang w:val="en-US" w:eastAsia="zh-CN"/>
        </w:rPr>
        <w:t>政</w:t>
      </w:r>
      <w:r>
        <w:rPr>
          <w:rFonts w:hint="eastAsia" w:ascii="仿宋_GB2312" w:hAnsi="仿宋_GB2312" w:eastAsia="仿宋_GB2312" w:cs="仿宋_GB2312"/>
          <w:color w:val="auto"/>
          <w:sz w:val="32"/>
          <w:szCs w:val="32"/>
        </w:rPr>
        <w:t>策和发展规划，</w:t>
      </w:r>
      <w:r>
        <w:rPr>
          <w:rFonts w:hint="eastAsia" w:ascii="仿宋_GB2312" w:hAnsi="仿宋_GB2312" w:eastAsia="仿宋_GB2312" w:cs="仿宋_GB2312"/>
          <w:color w:val="auto"/>
          <w:sz w:val="32"/>
          <w:szCs w:val="32"/>
          <w:lang w:val="en-US" w:eastAsia="zh-CN"/>
        </w:rPr>
        <w:t>拟</w:t>
      </w:r>
      <w:r>
        <w:rPr>
          <w:rFonts w:hint="eastAsia" w:ascii="仿宋_GB2312" w:hAnsi="仿宋_GB2312" w:eastAsia="仿宋_GB2312" w:cs="仿宋_GB2312"/>
          <w:color w:val="auto"/>
          <w:sz w:val="32"/>
          <w:szCs w:val="32"/>
        </w:rPr>
        <w:t>订地方性能源管理办法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规定并组织落实，推进能源体制改革。涉及能源发展的重大规划、政策和投资项目管理等，由县发展和改革局</w:t>
      </w:r>
      <w:r>
        <w:rPr>
          <w:rFonts w:hint="eastAsia" w:ascii="仿宋_GB2312" w:hAnsi="仿宋_GB2312" w:eastAsia="仿宋_GB2312" w:cs="仿宋_GB2312"/>
          <w:color w:val="auto"/>
          <w:sz w:val="32"/>
          <w:szCs w:val="32"/>
          <w:lang w:val="en-US" w:eastAsia="zh-CN"/>
        </w:rPr>
        <w:t>牵</w:t>
      </w:r>
      <w:r>
        <w:rPr>
          <w:rFonts w:hint="eastAsia" w:ascii="仿宋_GB2312" w:hAnsi="仿宋_GB2312" w:eastAsia="仿宋_GB2312" w:cs="仿宋_GB2312"/>
          <w:color w:val="auto"/>
          <w:sz w:val="32"/>
          <w:szCs w:val="32"/>
        </w:rPr>
        <w:t>头，以联席会议制度进行协调协</w:t>
      </w:r>
      <w:r>
        <w:rPr>
          <w:rFonts w:hint="eastAsia" w:ascii="仿宋_GB2312" w:hAnsi="仿宋_GB2312" w:eastAsia="仿宋_GB2312" w:cs="仿宋_GB2312"/>
          <w:color w:val="auto"/>
          <w:sz w:val="32"/>
          <w:szCs w:val="32"/>
          <w:lang w:val="en-US" w:eastAsia="zh-CN"/>
        </w:rPr>
        <w:t>商</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(二)负责全县能源行业管理。落实煤炭、电</w:t>
      </w:r>
      <w:r>
        <w:rPr>
          <w:rFonts w:hint="eastAsia" w:ascii="仿宋_GB2312" w:hAnsi="仿宋_GB2312" w:eastAsia="仿宋_GB2312" w:cs="仿宋_GB2312"/>
          <w:color w:val="auto"/>
          <w:sz w:val="32"/>
          <w:szCs w:val="32"/>
          <w:lang w:val="en-US" w:eastAsia="zh-CN"/>
        </w:rPr>
        <w:t>力、</w:t>
      </w:r>
      <w:r>
        <w:rPr>
          <w:rFonts w:hint="eastAsia" w:ascii="仿宋_GB2312" w:hAnsi="仿宋_GB2312" w:eastAsia="仿宋_GB2312" w:cs="仿宋_GB2312"/>
          <w:color w:val="auto"/>
          <w:sz w:val="32"/>
          <w:szCs w:val="32"/>
        </w:rPr>
        <w:t>石油、天然气、新能源和可再生能源等能源以及炼油等产业的相关标准并</w:t>
      </w:r>
      <w:r>
        <w:rPr>
          <w:rFonts w:hint="eastAsia" w:ascii="仿宋_GB2312" w:hAnsi="仿宋_GB2312" w:eastAsia="仿宋_GB2312" w:cs="仿宋_GB2312"/>
          <w:color w:val="auto"/>
          <w:sz w:val="32"/>
          <w:szCs w:val="32"/>
          <w:lang w:val="en-US" w:eastAsia="zh-CN"/>
        </w:rPr>
        <w:t>组织实施。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(三)按县政府规定权限，负责审批、核准、审核能源固定资产投资项目，并负责组织项目竣工验收。  </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(四)负责能源预测预警，监测全县能源发展状况，发布能  源信息，参与能源运行调节和应急保障。拟订石油、天然气战略储备规划，提出石油、天然气战略储备收储、动用建议，经县发展和改革局审核后，报县政府审批，按程序组织实施。  </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(五)牵头组织全县节能降耗工作，拟订年度工作计划并推  动实施。承担能源行业节能降耗和资源综合利用，参与研究能源消费总量控制目标建议，指导、监督能源消费总量控制有关工作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衔接能源生产建设和供需平衡。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(六)协调电力发展和改革中的重大问题。负责电力运行管理。</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(七)负责石油、天然气等管道建设和保护。</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(八)指导协调新能源、可再生能源、农村电网和农村能源发展工作。</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(九)组织推进能源重大设备研发及其相关重大科研项目，指导能源科技进步、成套设备的引进消化创新，组织协调相关重大示范工程、试点工程，积极推广应用新产品、新技术、新设备。</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十</w:t>
      </w:r>
      <w:r>
        <w:rPr>
          <w:rFonts w:hint="eastAsia" w:ascii="仿宋_GB2312" w:hAnsi="仿宋_GB2312" w:eastAsia="仿宋_GB2312" w:cs="仿宋_GB2312"/>
          <w:color w:val="auto"/>
          <w:sz w:val="32"/>
          <w:szCs w:val="32"/>
        </w:rPr>
        <w:t>)组织推进能源国际、省际、市际、县际合作，协调对外能源开发利用工作。</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(十一)参与制定与能源相关的资源、环保及应对气候变化等政策，提出能源价格调整和进出口总量建议。</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(十二)完成县委县政府交办的其他任务。</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三)职能转变。县能源局要围绕山西建设全国资源型经济转型发展示范区和打造全国能源革命排头兵战略，研究提出全县能源发展战略、政策和规划，提出能源体制改革建议，转变能源管理和服务职能，减少微观管理和具体审批事项。制定能源领域的相关规划、技术标准和规模管理，加强事中事后监管、激发市场主体活力。</w:t>
      </w:r>
    </w:p>
    <w:p>
      <w:pPr>
        <w:ind w:firstLine="643" w:firstLineChars="200"/>
        <w:jc w:val="both"/>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both"/>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widowControl/>
        <w:spacing w:line="324" w:lineRule="atLeast"/>
        <w:ind w:firstLine="640" w:firstLineChars="200"/>
        <w:jc w:val="both"/>
        <w:rPr>
          <w:rFonts w:hint="eastAsia" w:ascii="仿宋_GB2312" w:hAnsi="楷体" w:eastAsia="仿宋_GB2312" w:cs="宋体"/>
          <w:b w:val="0"/>
          <w:bCs/>
          <w:color w:val="auto"/>
          <w:kern w:val="0"/>
          <w:sz w:val="32"/>
          <w:szCs w:val="32"/>
          <w:lang w:eastAsia="zh-CN"/>
        </w:rPr>
      </w:pPr>
      <w:r>
        <w:rPr>
          <w:rFonts w:hint="eastAsia" w:ascii="仿宋_GB2312" w:hAnsi="仿宋_GB2312" w:eastAsia="仿宋_GB2312" w:cs="仿宋_GB2312"/>
          <w:color w:val="auto"/>
          <w:kern w:val="2"/>
          <w:sz w:val="32"/>
          <w:szCs w:val="32"/>
          <w:lang w:val="en-US" w:eastAsia="zh-CN" w:bidi="ar"/>
        </w:rPr>
        <w:t>襄垣县能源局成立于2019年3月19日。现有党组成员</w:t>
      </w:r>
    </w:p>
    <w:p>
      <w:pPr>
        <w:widowControl/>
        <w:spacing w:line="324" w:lineRule="atLeast"/>
        <w:jc w:val="both"/>
        <w:rPr>
          <w:rFonts w:hint="eastAsia" w:ascii="仿宋" w:hAnsi="仿宋" w:eastAsia="仿宋" w:cs="仿宋_GB2312"/>
          <w:color w:val="auto"/>
          <w:kern w:val="2"/>
          <w:sz w:val="30"/>
          <w:szCs w:val="30"/>
          <w:lang w:val="en-US" w:eastAsia="zh-CN" w:bidi="ar"/>
        </w:rPr>
      </w:pPr>
      <w:r>
        <w:rPr>
          <w:rFonts w:hint="eastAsia" w:ascii="仿宋_GB2312" w:hAnsi="仿宋_GB2312" w:eastAsia="仿宋_GB2312" w:cs="仿宋_GB2312"/>
          <w:color w:val="auto"/>
          <w:kern w:val="2"/>
          <w:sz w:val="32"/>
          <w:szCs w:val="32"/>
          <w:lang w:val="en-US" w:eastAsia="zh-CN" w:bidi="ar"/>
        </w:rPr>
        <w:t>4名，党员11名；局领导班子成员4名,赵波（党组书记、局长）、赵建斌（党组成员、副局长）、张东（党组成员、副局长）、张红波（党组成员、工会主席），其中正科级2人，副科级2人；在岗人员29名，其中，行政编制8名（核定行政编制8名），行政工人1名，行政待分流人员11名，事业编制人员9名。机关下属事业单位1个（襄垣县煤炭技术培训中心），机关内设5个股室，即综合办公室、发展规划股、煤炭股、电力节能股、新能源和可再生能源股，经费实行财政全额预算管理。</w:t>
      </w:r>
      <w:r>
        <w:rPr>
          <w:rFonts w:hint="eastAsia" w:ascii="仿宋" w:hAnsi="仿宋" w:eastAsia="仿宋" w:cs="仿宋_GB2312"/>
          <w:color w:val="auto"/>
          <w:kern w:val="2"/>
          <w:sz w:val="30"/>
          <w:szCs w:val="30"/>
          <w:lang w:val="en-US" w:eastAsia="zh-CN" w:bidi="ar"/>
        </w:rPr>
        <w:t xml:space="preserve"> </w:t>
      </w:r>
    </w:p>
    <w:p>
      <w:pPr>
        <w:widowControl/>
        <w:spacing w:line="324" w:lineRule="atLeast"/>
        <w:ind w:left="540"/>
        <w:jc w:val="both"/>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现有行政、事业编制17名，其中，行政编制8名，事业编制9名。实有29人，其中公务员8名，行政工勤1人，事业人员9名，</w:t>
      </w:r>
      <w:r>
        <w:rPr>
          <w:rFonts w:hint="eastAsia" w:ascii="仿宋_GB2312" w:hAnsi="仿宋_GB2312" w:eastAsia="仿宋_GB2312" w:cs="仿宋_GB2312"/>
          <w:color w:val="auto"/>
          <w:kern w:val="2"/>
          <w:sz w:val="32"/>
          <w:szCs w:val="32"/>
          <w:lang w:val="en-US" w:eastAsia="zh-CN" w:bidi="ar"/>
        </w:rPr>
        <w:t>行政待分流人员11名</w:t>
      </w:r>
      <w:r>
        <w:rPr>
          <w:rFonts w:hint="eastAsia" w:ascii="仿宋" w:hAnsi="仿宋" w:eastAsia="仿宋" w:cs="仿宋_GB2312"/>
          <w:color w:val="auto"/>
          <w:kern w:val="2"/>
          <w:sz w:val="32"/>
          <w:szCs w:val="32"/>
          <w:lang w:val="en-US" w:eastAsia="zh-CN" w:bidi="ar"/>
        </w:rPr>
        <w:t>。</w:t>
      </w:r>
    </w:p>
    <w:p>
      <w:pPr>
        <w:ind w:firstLine="640" w:firstLineChars="200"/>
        <w:jc w:val="both"/>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能源局2020年度收入、支出预算总计188.57万元，与上年相比收、支预算总计各减少362.96万元，减少65.81 %。主要原因是机构改制人员减少以及项目减少，其中</w:t>
      </w:r>
      <w:r>
        <w:rPr>
          <w:rFonts w:hint="eastAsia" w:ascii="仿宋" w:hAnsi="仿宋" w:eastAsia="仿宋" w:cs="仿宋_GB2312"/>
          <w:color w:val="auto"/>
          <w:kern w:val="2"/>
          <w:sz w:val="32"/>
          <w:szCs w:val="32"/>
          <w:lang w:val="en-US" w:eastAsia="zh-CN" w:bidi="ar"/>
        </w:rPr>
        <w:t>基本支出减少37.49万元，项目支出减少325.46万元。</w:t>
      </w:r>
      <w:bookmarkStart w:id="0" w:name="_GoBack"/>
      <w:bookmarkEnd w:id="0"/>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（一）收入预算总计188.57万元。包括：</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1．财政拨款收入预算总计188.57万元。</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（1）一般公共预算收入预算188.57万元，与上年相比减少362.96万元，减少65.81 %。主要原因是机构改制人员减少以及项目减少，其中</w:t>
      </w:r>
      <w:r>
        <w:rPr>
          <w:rFonts w:hint="eastAsia" w:ascii="仿宋" w:hAnsi="仿宋" w:eastAsia="仿宋" w:cs="仿宋_GB2312"/>
          <w:color w:val="auto"/>
          <w:kern w:val="2"/>
          <w:sz w:val="32"/>
          <w:szCs w:val="32"/>
          <w:lang w:val="en-US" w:eastAsia="zh-CN" w:bidi="ar"/>
        </w:rPr>
        <w:t>基本支出减少37.49万元，项目支出减少325.46万元。</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（2）政府性基金收入预算0万元，与上年相比增加（减少）0万元，增长（减少）0%。主要原因是</w:t>
      </w:r>
      <w:r>
        <w:rPr>
          <w:rFonts w:hint="eastAsia" w:ascii="仿宋" w:hAnsi="仿宋" w:eastAsia="仿宋" w:cs="仿宋_GB2312"/>
          <w:color w:val="auto"/>
          <w:kern w:val="2"/>
          <w:sz w:val="32"/>
          <w:szCs w:val="32"/>
          <w:lang w:val="en-US" w:eastAsia="zh-CN" w:bidi="ar"/>
        </w:rPr>
        <w:t>本年度无此项预算。</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2．财政专户管理资金收入预算总计0万元。与上年相比增加（减少）0万元，增长（减少）0%。主要原因是</w:t>
      </w:r>
      <w:r>
        <w:rPr>
          <w:rFonts w:hint="eastAsia" w:ascii="仿宋" w:hAnsi="仿宋" w:eastAsia="仿宋" w:cs="仿宋_GB2312"/>
          <w:color w:val="auto"/>
          <w:kern w:val="2"/>
          <w:sz w:val="32"/>
          <w:szCs w:val="32"/>
          <w:lang w:val="en-US" w:eastAsia="zh-CN" w:bidi="ar"/>
        </w:rPr>
        <w:t>本年度无此项预算。</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3．其他资金收入预算总计0万元。与上年相比增加（减少）0万元，增长（减少）0%。主要原因是</w:t>
      </w:r>
      <w:r>
        <w:rPr>
          <w:rFonts w:hint="eastAsia" w:ascii="仿宋" w:hAnsi="仿宋" w:eastAsia="仿宋" w:cs="仿宋_GB2312"/>
          <w:color w:val="auto"/>
          <w:kern w:val="2"/>
          <w:sz w:val="32"/>
          <w:szCs w:val="32"/>
          <w:lang w:val="en-US" w:eastAsia="zh-CN" w:bidi="ar"/>
        </w:rPr>
        <w:t>本年度无此项预算。</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4．上年结转资金预算数为0万元。与上年相比增加（减少）0万元，增长（减少）0%。主要原因是</w:t>
      </w:r>
      <w:r>
        <w:rPr>
          <w:rFonts w:hint="eastAsia" w:ascii="仿宋" w:hAnsi="仿宋" w:eastAsia="仿宋" w:cs="仿宋_GB2312"/>
          <w:color w:val="auto"/>
          <w:kern w:val="2"/>
          <w:sz w:val="32"/>
          <w:szCs w:val="32"/>
          <w:lang w:val="en-US" w:eastAsia="zh-CN" w:bidi="ar"/>
        </w:rPr>
        <w:t>本年度无此项预算。</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（二）支出预算总计188.57万元。包括：</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1．一般公共服务（类）支出188.57万元，主要用于基本支出105.03万元、项目支出83.54万元。与上年相比</w:t>
      </w:r>
      <w:r>
        <w:rPr>
          <w:rFonts w:hint="eastAsia" w:ascii="仿宋" w:hAnsi="仿宋" w:eastAsia="仿宋" w:cs="仿宋_GB2312"/>
          <w:color w:val="auto"/>
          <w:kern w:val="2"/>
          <w:sz w:val="32"/>
          <w:szCs w:val="32"/>
          <w:lang w:val="en-US" w:eastAsia="zh-CN" w:bidi="ar"/>
        </w:rPr>
        <w:t>基本支出减少37.49万元，减少26.31%、项目支出减少325.46万元，减少79.57%。主要原因是机构改制人员减少以及项目减少，其中</w:t>
      </w:r>
      <w:r>
        <w:rPr>
          <w:rFonts w:hint="eastAsia" w:ascii="仿宋" w:hAnsi="仿宋" w:eastAsia="仿宋" w:cs="仿宋_GB2312"/>
          <w:color w:val="auto"/>
          <w:kern w:val="2"/>
          <w:sz w:val="32"/>
          <w:szCs w:val="32"/>
          <w:lang w:val="en-US" w:eastAsia="zh-CN" w:bidi="ar"/>
        </w:rPr>
        <w:t>基本支出减少37.49万元，项目支出减少325.46万元。</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2．公共安全（类）支出0万元，主要用于无。与上年相比增加（减少）0万元，增长（减少）0%。主要原因是本年度无此项预算。</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3．结转下年资金预算数为0万元，主要原因是</w:t>
      </w:r>
      <w:r>
        <w:rPr>
          <w:rFonts w:hint="eastAsia" w:ascii="仿宋" w:hAnsi="仿宋" w:eastAsia="仿宋" w:cs="仿宋_GB2312"/>
          <w:color w:val="auto"/>
          <w:kern w:val="2"/>
          <w:sz w:val="32"/>
          <w:szCs w:val="32"/>
          <w:lang w:val="en-US" w:eastAsia="zh-CN" w:bidi="ar"/>
        </w:rPr>
        <w:t>本年度无此项预算。</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此外，基本支出预算数为105.03万元。与上年相比</w:t>
      </w:r>
      <w:r>
        <w:rPr>
          <w:rFonts w:hint="eastAsia" w:ascii="仿宋" w:hAnsi="仿宋" w:eastAsia="仿宋" w:cs="仿宋_GB2312"/>
          <w:color w:val="auto"/>
          <w:kern w:val="2"/>
          <w:sz w:val="32"/>
          <w:szCs w:val="32"/>
          <w:lang w:val="en-US" w:eastAsia="zh-CN" w:bidi="ar"/>
        </w:rPr>
        <w:t>减少37.49万元，</w:t>
      </w:r>
      <w:r>
        <w:rPr>
          <w:rFonts w:hint="eastAsia" w:ascii="仿宋" w:hAnsi="仿宋" w:eastAsia="仿宋" w:cs="仿宋_GB2312"/>
          <w:color w:val="auto"/>
          <w:kern w:val="2"/>
          <w:sz w:val="32"/>
          <w:szCs w:val="32"/>
          <w:lang w:val="en-US" w:eastAsia="zh-CN" w:bidi="ar"/>
        </w:rPr>
        <w:t>减少26.31%。主要原因是机构改制人员减少相应经费减少。</w:t>
      </w:r>
    </w:p>
    <w:p>
      <w:pPr>
        <w:ind w:firstLine="640" w:firstLineChars="200"/>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项目支出预算数为83.54万元。与上年相比</w:t>
      </w:r>
      <w:r>
        <w:rPr>
          <w:rFonts w:hint="eastAsia" w:ascii="仿宋" w:hAnsi="仿宋" w:eastAsia="仿宋" w:cs="仿宋_GB2312"/>
          <w:color w:val="auto"/>
          <w:kern w:val="2"/>
          <w:sz w:val="32"/>
          <w:szCs w:val="32"/>
          <w:lang w:val="en-US" w:eastAsia="zh-CN" w:bidi="ar"/>
        </w:rPr>
        <w:t>325.46万元，减少79.57%。主要原因是机构改制项目减少。</w:t>
      </w:r>
    </w:p>
    <w:p>
      <w:pPr>
        <w:ind w:firstLine="645"/>
        <w:jc w:val="both"/>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单位预留机动经费预算数为0万元。与上年相比增加（减少）0万元，增长（减少）0 %。主要原因是本年度无此项预算。</w:t>
      </w:r>
    </w:p>
    <w:p>
      <w:pPr>
        <w:ind w:firstLine="640" w:firstLineChars="200"/>
        <w:jc w:val="both"/>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jc w:val="both"/>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10.48万元，较2019年减少16.12万元，其中：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1.6万元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0.5万元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0.3万元、</w:t>
      </w:r>
      <w:r>
        <w:rPr>
          <w:rFonts w:hint="eastAsia" w:ascii="仿宋_GB2312" w:hAnsi="仿宋_GB2312" w:eastAsia="仿宋_GB2312" w:cs="仿宋_GB2312"/>
          <w:i w:val="0"/>
          <w:iCs w:val="0"/>
          <w:color w:val="auto"/>
          <w:kern w:val="0"/>
          <w:sz w:val="32"/>
          <w:szCs w:val="32"/>
          <w:u w:val="none"/>
          <w:lang w:val="en-US" w:eastAsia="zh-CN" w:bidi="ar"/>
        </w:rPr>
        <w:t>培训费0.3万元、 工会经费0.7万元、其他交通费用6.48万元、其他商品和服务支出0.3万元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主要增减变化原因：</w:t>
      </w:r>
      <w:r>
        <w:rPr>
          <w:rFonts w:hint="eastAsia" w:ascii="仿宋_GB2312" w:eastAsia="仿宋_GB2312" w:hAnsiTheme="minorEastAsia" w:cstheme="minorEastAsia"/>
          <w:color w:val="auto"/>
          <w:sz w:val="32"/>
          <w:szCs w:val="32"/>
          <w:lang w:eastAsia="zh-CN"/>
        </w:rPr>
        <w:t>人员减少，办公经费相应减少。</w:t>
      </w:r>
    </w:p>
    <w:p>
      <w:pPr>
        <w:ind w:firstLine="640" w:firstLineChars="200"/>
        <w:jc w:val="both"/>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jc w:val="both"/>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jc w:val="both"/>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jc w:val="both"/>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jc w:val="both"/>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jc w:val="both"/>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jc w:val="both"/>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5" w:lineRule="atLeast"/>
        <w:ind w:left="0" w:right="0" w:firstLine="556"/>
        <w:jc w:val="both"/>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3750.94</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3097.41</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2016.26</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79.55</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793.89</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17</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207.43</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1014.94</w:t>
      </w:r>
      <w:r>
        <w:rPr>
          <w:rFonts w:hint="eastAsia" w:ascii="仿宋_GB2312" w:hAnsi="仿宋_GB2312" w:eastAsia="仿宋_GB2312" w:cs="仿宋_GB2312"/>
          <w:color w:val="auto"/>
          <w:sz w:val="32"/>
          <w:szCs w:val="32"/>
          <w:shd w:val="clear" w:color="auto" w:fill="FFFFFF"/>
        </w:rPr>
        <w:t>万元。 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1516.97</w:t>
      </w:r>
      <w:r>
        <w:rPr>
          <w:rFonts w:hint="eastAsia" w:ascii="仿宋_GB2312" w:hAnsi="仿宋_GB2312" w:eastAsia="仿宋_GB2312" w:cs="仿宋_GB2312"/>
          <w:color w:val="auto"/>
          <w:sz w:val="32"/>
          <w:szCs w:val="32"/>
          <w:shd w:val="clear" w:color="auto" w:fill="FFFFFF"/>
        </w:rPr>
        <w:t>万元。 </w:t>
      </w:r>
    </w:p>
    <w:p>
      <w:pPr>
        <w:ind w:firstLine="640" w:firstLineChars="200"/>
        <w:jc w:val="both"/>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我单位本年度项目支出83.54万元，其中：</w:t>
      </w:r>
      <w:r>
        <w:rPr>
          <w:rFonts w:hint="eastAsia" w:ascii="仿宋_GB2312" w:hAnsi="仿宋_GB2312" w:eastAsia="仿宋_GB2312" w:cs="仿宋_GB2312"/>
          <w:i w:val="0"/>
          <w:iCs w:val="0"/>
          <w:color w:val="auto"/>
          <w:kern w:val="0"/>
          <w:sz w:val="32"/>
          <w:szCs w:val="32"/>
          <w:u w:val="none"/>
          <w:lang w:val="en-US" w:eastAsia="zh-CN" w:bidi="ar"/>
        </w:rPr>
        <w:t>自收自支人员办公经费8.36万元、监察监控工作及运行经费16.6</w:t>
      </w:r>
      <w:r>
        <w:rPr>
          <w:rFonts w:hint="eastAsia" w:ascii="仿宋_GB2312" w:hAnsi="仿宋_GB2312" w:eastAsia="仿宋_GB2312" w:cs="仿宋_GB2312"/>
          <w:i w:val="0"/>
          <w:iCs w:val="0"/>
          <w:color w:val="auto"/>
          <w:kern w:val="0"/>
          <w:sz w:val="32"/>
          <w:szCs w:val="32"/>
          <w:u w:val="none"/>
          <w:lang w:val="en-US" w:eastAsia="zh-CN" w:bidi="ar"/>
        </w:rPr>
        <w:t>万元、</w:t>
      </w:r>
      <w:r>
        <w:rPr>
          <w:rFonts w:hint="eastAsia" w:ascii="仿宋_GB2312" w:hAnsi="仿宋_GB2312" w:eastAsia="仿宋_GB2312" w:cs="仿宋_GB2312"/>
          <w:i w:val="0"/>
          <w:iCs w:val="0"/>
          <w:color w:val="auto"/>
          <w:kern w:val="0"/>
          <w:sz w:val="32"/>
          <w:szCs w:val="32"/>
          <w:u w:val="none"/>
          <w:lang w:val="en-US" w:eastAsia="zh-CN" w:bidi="ar"/>
        </w:rPr>
        <w:t>节能安全宣传费9.5</w:t>
      </w:r>
      <w:r>
        <w:rPr>
          <w:rFonts w:hint="eastAsia" w:ascii="仿宋_GB2312" w:hAnsi="仿宋_GB2312" w:eastAsia="仿宋_GB2312" w:cs="仿宋_GB2312"/>
          <w:i w:val="0"/>
          <w:iCs w:val="0"/>
          <w:color w:val="auto"/>
          <w:kern w:val="0"/>
          <w:sz w:val="32"/>
          <w:szCs w:val="32"/>
          <w:u w:val="none"/>
          <w:lang w:val="en-US" w:eastAsia="zh-CN" w:bidi="ar"/>
        </w:rPr>
        <w:t>万元、</w:t>
      </w:r>
      <w:r>
        <w:rPr>
          <w:rFonts w:hint="eastAsia" w:ascii="仿宋_GB2312" w:hAnsi="仿宋_GB2312" w:eastAsia="仿宋_GB2312" w:cs="仿宋_GB2312"/>
          <w:i w:val="0"/>
          <w:iCs w:val="0"/>
          <w:color w:val="auto"/>
          <w:kern w:val="0"/>
          <w:sz w:val="32"/>
          <w:szCs w:val="32"/>
          <w:u w:val="none"/>
          <w:lang w:val="en-US" w:eastAsia="zh-CN" w:bidi="ar"/>
        </w:rPr>
        <w:t>煤质检验费4</w:t>
      </w:r>
      <w:r>
        <w:rPr>
          <w:rFonts w:hint="eastAsia" w:ascii="仿宋_GB2312" w:hAnsi="仿宋_GB2312" w:eastAsia="仿宋_GB2312" w:cs="仿宋_GB2312"/>
          <w:i w:val="0"/>
          <w:iCs w:val="0"/>
          <w:color w:val="auto"/>
          <w:kern w:val="0"/>
          <w:sz w:val="32"/>
          <w:szCs w:val="32"/>
          <w:u w:val="none"/>
          <w:lang w:val="en-US" w:eastAsia="zh-CN" w:bidi="ar"/>
        </w:rPr>
        <w:t>万元、</w:t>
      </w:r>
      <w:r>
        <w:rPr>
          <w:rFonts w:hint="eastAsia" w:ascii="仿宋_GB2312" w:hAnsi="仿宋_GB2312" w:eastAsia="仿宋_GB2312" w:cs="仿宋_GB2312"/>
          <w:i w:val="0"/>
          <w:iCs w:val="0"/>
          <w:color w:val="auto"/>
          <w:kern w:val="0"/>
          <w:sz w:val="32"/>
          <w:szCs w:val="32"/>
          <w:u w:val="none"/>
          <w:lang w:val="en-US" w:eastAsia="zh-CN" w:bidi="ar"/>
        </w:rPr>
        <w:t>专家会诊费5万元。</w:t>
      </w:r>
    </w:p>
    <w:p>
      <w:pPr>
        <w:ind w:firstLine="626" w:firstLineChars="200"/>
        <w:jc w:val="both"/>
        <w:rPr>
          <w:rFonts w:hint="eastAsia" w:ascii="楷体" w:hAnsi="楷体" w:eastAsia="楷体" w:cstheme="minorEastAsia"/>
          <w:b w:val="0"/>
          <w:bCs/>
          <w:color w:val="auto"/>
          <w:w w:val="98"/>
          <w:sz w:val="32"/>
          <w:szCs w:val="32"/>
          <w:lang w:eastAsia="zh-CN"/>
        </w:rPr>
      </w:pPr>
      <w:r>
        <w:rPr>
          <w:rFonts w:hint="eastAsia" w:ascii="楷体" w:hAnsi="楷体" w:eastAsia="楷体" w:cstheme="minorEastAsia"/>
          <w:b w:val="0"/>
          <w:bCs/>
          <w:color w:val="auto"/>
          <w:w w:val="98"/>
          <w:sz w:val="32"/>
          <w:szCs w:val="32"/>
          <w:lang w:val="en-US" w:eastAsia="zh-CN"/>
        </w:rPr>
        <w:t>九、</w:t>
      </w:r>
      <w:r>
        <w:rPr>
          <w:rFonts w:hint="eastAsia" w:ascii="楷体" w:hAnsi="楷体" w:eastAsia="楷体" w:cstheme="minorEastAsia"/>
          <w:b w:val="0"/>
          <w:bCs/>
          <w:color w:val="auto"/>
          <w:w w:val="98"/>
          <w:sz w:val="32"/>
          <w:szCs w:val="32"/>
        </w:rPr>
        <w:t>一般公共预算“三公”经费支出</w:t>
      </w:r>
      <w:r>
        <w:rPr>
          <w:rFonts w:hint="eastAsia" w:ascii="楷体" w:hAnsi="楷体" w:eastAsia="楷体" w:cstheme="minorEastAsia"/>
          <w:b w:val="0"/>
          <w:bCs/>
          <w:color w:val="auto"/>
          <w:w w:val="98"/>
          <w:sz w:val="32"/>
          <w:szCs w:val="32"/>
          <w:lang w:eastAsia="zh-CN"/>
        </w:rPr>
        <w:t>增减变化原因等说明</w:t>
      </w:r>
    </w:p>
    <w:p>
      <w:p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jc w:val="both"/>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jc w:val="both"/>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w:t>
      </w:r>
      <w:r>
        <w:rPr>
          <w:rFonts w:hint="eastAsia" w:ascii="仿宋_GB2312" w:eastAsia="仿宋_GB2312" w:hAnsiTheme="minorEastAsia" w:cstheme="minorEastAsia"/>
          <w:color w:val="auto"/>
          <w:sz w:val="32"/>
          <w:szCs w:val="32"/>
          <w:lang w:eastAsia="zh-CN"/>
        </w:rPr>
        <w:t>本年度无此项预算</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jc w:val="both"/>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jc w:val="both"/>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jc w:val="both"/>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jc w:val="both"/>
        <w:rPr>
          <w:rFonts w:asciiTheme="minorEastAsia" w:hAnsiTheme="minorEastAsia" w:cstheme="minorEastAsia"/>
          <w:color w:val="auto"/>
          <w:sz w:val="32"/>
          <w:szCs w:val="32"/>
        </w:rPr>
      </w:pPr>
      <w:r>
        <w:rPr>
          <w:rFonts w:hint="eastAsia" w:ascii="仿宋_GB2312" w:eastAsia="仿宋_GB2312" w:hAnsiTheme="minorEastAsia" w:cstheme="minorEastAsia"/>
          <w:b w:val="0"/>
          <w:bCs w:val="0"/>
          <w:color w:val="auto"/>
          <w:sz w:val="32"/>
          <w:szCs w:val="32"/>
          <w:lang w:val="en-US" w:eastAsia="zh-CN"/>
        </w:rPr>
        <w:t>能源局</w:t>
      </w:r>
      <w:r>
        <w:rPr>
          <w:rFonts w:hint="eastAsia" w:ascii="仿宋_GB2312" w:eastAsia="仿宋_GB2312" w:hAnsiTheme="minorEastAsia" w:cstheme="minorEastAsia"/>
          <w:b w:val="0"/>
          <w:bCs w:val="0"/>
          <w:color w:val="auto"/>
          <w:sz w:val="32"/>
          <w:szCs w:val="32"/>
          <w:lang w:eastAsia="zh-CN"/>
        </w:rPr>
        <w:t>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A1633D5"/>
    <w:rsid w:val="0C5A5250"/>
    <w:rsid w:val="0C64513E"/>
    <w:rsid w:val="0DE649EC"/>
    <w:rsid w:val="0EE25EB1"/>
    <w:rsid w:val="10CB3E8D"/>
    <w:rsid w:val="11F35FF2"/>
    <w:rsid w:val="179A58B8"/>
    <w:rsid w:val="1B4A6025"/>
    <w:rsid w:val="1DF453AF"/>
    <w:rsid w:val="1E107510"/>
    <w:rsid w:val="1E643EFE"/>
    <w:rsid w:val="209E0EC3"/>
    <w:rsid w:val="20AF578C"/>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DC850A7"/>
    <w:rsid w:val="4EBA5260"/>
    <w:rsid w:val="51B619BA"/>
    <w:rsid w:val="522F50B0"/>
    <w:rsid w:val="52567629"/>
    <w:rsid w:val="582B68F4"/>
    <w:rsid w:val="5D083F24"/>
    <w:rsid w:val="5D306324"/>
    <w:rsid w:val="5E0B45F3"/>
    <w:rsid w:val="5EFF025F"/>
    <w:rsid w:val="5FAF3B49"/>
    <w:rsid w:val="60860A87"/>
    <w:rsid w:val="60B46440"/>
    <w:rsid w:val="61C6166E"/>
    <w:rsid w:val="635C762A"/>
    <w:rsid w:val="675149A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2021-06-03T09:06:31Z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0C78EEEA0DD8476496AC38989C162AA2</vt:lpwstr>
  </property>
</Properties>
</file>