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黑体" w:hAnsi="黑体" w:eastAsia="黑体" w:cstheme="minorEastAsia"/>
          <w:sz w:val="44"/>
          <w:szCs w:val="44"/>
        </w:rPr>
      </w:pPr>
      <w:r>
        <w:rPr>
          <w:rFonts w:hint="eastAsia" w:ascii="黑体" w:hAnsi="黑体" w:eastAsia="黑体" w:cstheme="minorEastAsia"/>
          <w:sz w:val="44"/>
          <w:szCs w:val="44"/>
          <w:lang w:eastAsia="zh-CN"/>
        </w:rPr>
        <w:t>襄垣</w:t>
      </w:r>
      <w:r>
        <w:rPr>
          <w:rFonts w:hint="eastAsia" w:ascii="黑体" w:hAnsi="黑体" w:eastAsia="黑体" w:cstheme="minorEastAsia"/>
          <w:sz w:val="44"/>
          <w:szCs w:val="44"/>
        </w:rPr>
        <w:t>县</w:t>
      </w:r>
      <w:r>
        <w:rPr>
          <w:rFonts w:hint="eastAsia" w:ascii="Arial" w:hAnsi="Arial" w:eastAsia="黑体" w:cs="Arial"/>
          <w:sz w:val="44"/>
          <w:szCs w:val="44"/>
          <w:lang w:val="en-US" w:eastAsia="zh-CN"/>
        </w:rPr>
        <w:t>农业农村局</w:t>
      </w:r>
    </w:p>
    <w:p>
      <w:pPr>
        <w:jc w:val="center"/>
        <w:rPr>
          <w:rFonts w:ascii="黑体" w:hAnsi="黑体" w:eastAsia="黑体" w:cstheme="minorEastAsia"/>
          <w:sz w:val="44"/>
          <w:szCs w:val="44"/>
        </w:rPr>
      </w:pPr>
      <w:r>
        <w:rPr>
          <w:rFonts w:hint="eastAsia" w:ascii="黑体" w:hAnsi="黑体" w:eastAsia="黑体" w:cstheme="minorEastAsia"/>
          <w:sz w:val="44"/>
          <w:szCs w:val="44"/>
        </w:rPr>
        <w:t>20</w:t>
      </w:r>
      <w:r>
        <w:rPr>
          <w:rFonts w:hint="eastAsia" w:ascii="黑体" w:hAnsi="黑体" w:eastAsia="黑体" w:cstheme="minorEastAsia"/>
          <w:sz w:val="44"/>
          <w:szCs w:val="44"/>
          <w:lang w:val="en-US" w:eastAsia="zh-CN"/>
        </w:rPr>
        <w:t>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hint="eastAsia" w:ascii="楷体" w:hAnsi="楷体" w:eastAsia="楷体" w:cstheme="minorEastAsia"/>
          <w:b/>
          <w:bCs w:val="0"/>
          <w:sz w:val="32"/>
          <w:szCs w:val="32"/>
        </w:rPr>
      </w:pPr>
      <w:r>
        <w:rPr>
          <w:rFonts w:hint="eastAsia" w:ascii="楷体" w:hAnsi="楷体" w:eastAsia="楷体" w:cstheme="minorEastAsia"/>
          <w:b/>
          <w:bCs w:val="0"/>
          <w:sz w:val="32"/>
          <w:szCs w:val="32"/>
        </w:rPr>
        <w:t>一、部门主要职能</w:t>
      </w:r>
    </w:p>
    <w:p>
      <w:p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一）统筹研究和组织实施全县“三农”工作的发展战略、中长期规划、重大政策。拟订有关农业农村地方规范性文件，指导农业综合执法。负责农业行政审批制度改革工作。参与落实涉农财税、价格、收储、金融保险、进出口等政策措施</w:t>
      </w:r>
    </w:p>
    <w:p>
      <w:p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二）组织协调推进全县乡村振兴战略实施，统筹推动发展农村社会事业、农村公共服务、农村文化、农村基础设施和乡村治理。牵头组织改善农村人居环境。指导农村精神文明和优秀农耕文化建设。指导农业行业安全生产工作。</w:t>
      </w:r>
    </w:p>
    <w:p>
      <w:p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三）组织实施深化全县农村经济体制改革和巩固完善农村基本经营制度的政策落实。负责农民承包地、农村宅基地改革和管理有关工作。负责农村集体产权制度改革，指导农村集体经济组织发展和集体资产管理工作。指导监督减轻农民负担和村民“一事一议”筹资筹劳管理。指导农民合作经济组织、农业社会化服务体系、新型农业经营主体建设与发展。</w:t>
      </w:r>
    </w:p>
    <w:p>
      <w:p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四）指导乡村特色产业、农产品加工业、休闲农业、城郊农业以及新产业新业态发展工作。提出促进大宗农产品流通的建议，培育、保护地方农业品牌。发布农业农村经济信息，监测分析农业农村经济运行。承担农业统计和农业农村信息化有关工作。</w:t>
      </w:r>
    </w:p>
    <w:p>
      <w:p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五）负责全县种植业、畜牧业、渔业、农垦、农业机械化等农业各产业的监督管理。组织落实粮食等农产品生产政策措施。指导农业供给侧结构性调整，组织构建现代农业产业体系、生产体系、经营体系。指导农业标准化生产。</w:t>
      </w:r>
    </w:p>
    <w:p>
      <w:p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六）负责农产品质量安全监督管理。组织开展全县农产品质量安全监测、追溯、风险评估。按照职责权限发布有关农产品质量安全状况信息。提出区域技术性贸易措施的建议。参与制定农产品质量安全标准并会同有关部门组织实施。指导农产品质量安全监管体系、农业检验检测体系建设和机构考核。</w:t>
      </w:r>
    </w:p>
    <w:p>
      <w:p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七）组织农业资源区划工作。指导全县农用地、渔业水域以及农业生物物种资源的保护与管理。负责耕地及永久基本农田质量保护工作。指导农产品产地环境管理和农业清洁生产。运用农艺、农机、生物等工程措施发展有机旱作农业。指导设施农业、生态循环农业、节水农业发展以及农村可再生能源综合开发利用、农业生物质产业发展。牵头管理外来物种。</w:t>
      </w:r>
    </w:p>
    <w:p>
      <w:p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八）负责有关农业生产资料和农业投入品的监督管理。组织农业生产资料市场体系建设，参与拟订有关农业生产资料地方标准并监督实施。负责农作物种子（种苗）、种畜禽、农药、肥料、兽药、兽医医疗器械、饲料及饲料添加剂等监督管理。组织兽医医政、兽药药政药检工作，负责执业兽医和畜禽屠宰行业管理。</w:t>
      </w:r>
    </w:p>
    <w:p>
      <w:p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（九）负责农业防灾减灾、农作物重大病虫害防治工作。指导动植物防疫检疫体系建设，组织、监督全县动植物防疫检疫工作，发布疫情并组织扑灭。</w:t>
      </w:r>
    </w:p>
    <w:p>
      <w:p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十）负责农业投资管理。提出全县农业投融资体制机制改革政策建议。编制农业投资项目建设规划，提出农业投资规模和方向、扶持农业农村发展财政项目的建议。按县人民政府规定权限审批农业投资项目，负责农业投资项目资金安排和监督管理。</w:t>
      </w:r>
    </w:p>
    <w:p>
      <w:p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十一）推动农业科技体制改革和农业科技创新体系建设。指导农技推广体系和农业产业技术体系建设，组织开展全县农业领域的高新技术和应用技术研究、科技成果转化和技术推广。负责农业转基因生物安全监督管理和农业植物新品种保护。</w:t>
      </w:r>
    </w:p>
    <w:p>
      <w:p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（十二）指导农业农村人才工作。拟订全县农业农村人才队伍建设规划并组织实施，指导农业教育和农业职业技能开发，指导新型职业农民培育、农业科技人才培养和农村实用人才培训工作。</w:t>
      </w:r>
    </w:p>
    <w:p>
      <w:p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（十三）牵头开展全县农业对外合作工作。承办农业涉外事务，组织开展农业贸易促进和有关国际国内经济、技术交流和合作。具体执行有关农业援外项目。</w:t>
      </w:r>
    </w:p>
    <w:p>
      <w:p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（十四）承办县脱贫攻坚领导小组日常工作，协调行业部门推进专项扶贫，负责组织、协调和指导全县扶贫工作。协调社会各界的扶贫工作，协调组织全县干部驻村帮扶工作。</w:t>
      </w:r>
    </w:p>
    <w:p>
      <w:pPr>
        <w:ind w:firstLine="643" w:firstLineChars="200"/>
        <w:rPr>
          <w:rFonts w:ascii="楷体" w:hAnsi="楷体" w:eastAsia="楷体" w:cstheme="minorEastAsia"/>
          <w:b/>
          <w:bCs w:val="0"/>
          <w:sz w:val="32"/>
          <w:szCs w:val="32"/>
        </w:rPr>
      </w:pPr>
      <w:r>
        <w:rPr>
          <w:rFonts w:hint="eastAsia" w:ascii="楷体" w:hAnsi="楷体" w:eastAsia="楷体" w:cstheme="minorEastAsia"/>
          <w:b/>
          <w:bCs w:val="0"/>
          <w:sz w:val="32"/>
          <w:szCs w:val="32"/>
        </w:rPr>
        <w:t>二、部门基本情况</w:t>
      </w:r>
    </w:p>
    <w:p>
      <w:pPr>
        <w:widowControl/>
        <w:spacing w:line="324" w:lineRule="atLeast"/>
        <w:ind w:left="540"/>
        <w:jc w:val="left"/>
        <w:rPr>
          <w:rFonts w:hint="eastAsia" w:ascii="仿宋_GB2312" w:hAnsi="楷体" w:eastAsia="仿宋_GB2312" w:cs="宋体"/>
          <w:b w:val="0"/>
          <w:bCs/>
          <w:color w:val="333333"/>
          <w:kern w:val="0"/>
          <w:sz w:val="18"/>
          <w:szCs w:val="18"/>
          <w:lang w:eastAsia="zh-CN"/>
        </w:rPr>
      </w:pPr>
      <w:r>
        <w:rPr>
          <w:rFonts w:hint="eastAsia" w:ascii="仿宋_GB2312" w:hAnsi="楷体" w:eastAsia="仿宋_GB2312" w:cs="宋体"/>
          <w:b w:val="0"/>
          <w:bCs/>
          <w:color w:val="333333"/>
          <w:kern w:val="0"/>
          <w:sz w:val="32"/>
          <w:szCs w:val="32"/>
        </w:rPr>
        <w:t>（一）</w:t>
      </w:r>
      <w:r>
        <w:rPr>
          <w:rFonts w:hint="eastAsia" w:ascii="仿宋_GB2312" w:hAnsi="楷体" w:eastAsia="仿宋_GB2312" w:cs="宋体"/>
          <w:b w:val="0"/>
          <w:bCs/>
          <w:color w:val="333333"/>
          <w:kern w:val="0"/>
          <w:sz w:val="32"/>
          <w:szCs w:val="32"/>
          <w:lang w:eastAsia="zh-CN"/>
        </w:rPr>
        <w:t>机构设置情况</w:t>
      </w:r>
    </w:p>
    <w:p>
      <w:pPr>
        <w:ind w:firstLine="640" w:firstLineChars="200"/>
        <w:rPr>
          <w:rFonts w:hint="eastAsia" w:ascii="仿宋" w:hAnsi="仿宋" w:eastAsia="仿宋" w:cs="仿宋_GB2312"/>
          <w:color w:val="5B9BD5" w:themeColor="accent1"/>
          <w:kern w:val="2"/>
          <w:sz w:val="30"/>
          <w:szCs w:val="30"/>
          <w:lang w:val="en-US" w:eastAsia="zh-CN" w:bidi="ar"/>
          <w14:textFill>
            <w14:solidFill>
              <w14:schemeClr w14:val="accent1"/>
            </w14:solidFill>
          </w14:textFill>
        </w:rPr>
      </w:pPr>
      <w:r>
        <w:rPr>
          <w:rFonts w:hint="eastAsia" w:ascii="仿宋_GB2312" w:eastAsia="仿宋_GB2312" w:hAnsiTheme="minorEastAsia" w:cstheme="minorEastAsia"/>
          <w:sz w:val="32"/>
          <w:szCs w:val="32"/>
          <w:lang w:val="en-US" w:eastAsia="zh-CN"/>
        </w:rPr>
        <w:t>襄垣县农业农村局组建于2019年3月，加挂襄垣县扶贫开发办公室牌子，正科级建制，为县人民政府工作部门。中共襄垣县委农村工作领导组办公室设在县农业农村局。根据“三定”方案要求，机关内设16个股室（办公室、党办、农办秘书科、政策法规股、发展规划股、计划财务股、农村社会事业促进股、种植业管理股、科技教育股、农田建设管理股、畜牧渔业管理股、农机管理股、农广校、质检中心、土肥站、植保站）。有行政编制12名，现有局长1名、副局长2名、执法副队长2名。共有在职干部职工87人，正高4名、副高16名，中级职称29名。机关支部共有支委5人，中共党员49人。</w:t>
      </w:r>
      <w:r>
        <w:rPr>
          <w:rFonts w:hint="eastAsia" w:ascii="仿宋" w:hAnsi="仿宋" w:eastAsia="仿宋" w:cs="仿宋_GB2312"/>
          <w:color w:val="5B9BD5" w:themeColor="accent1"/>
          <w:kern w:val="2"/>
          <w:sz w:val="30"/>
          <w:szCs w:val="30"/>
          <w:lang w:val="en-US" w:eastAsia="zh-CN" w:bidi="ar"/>
          <w14:textFill>
            <w14:solidFill>
              <w14:schemeClr w14:val="accent1"/>
            </w14:solidFill>
          </w14:textFill>
        </w:rPr>
        <w:t xml:space="preserve"> </w:t>
      </w:r>
    </w:p>
    <w:p>
      <w:pPr>
        <w:ind w:firstLine="645"/>
        <w:rPr>
          <w:rFonts w:ascii="仿宋_GB2312" w:hAnsi="楷体" w:eastAsia="仿宋_GB2312" w:cs="宋体"/>
          <w:b w:val="0"/>
          <w:bCs/>
          <w:color w:val="333333"/>
          <w:kern w:val="0"/>
          <w:sz w:val="32"/>
          <w:szCs w:val="32"/>
        </w:rPr>
      </w:pPr>
      <w:r>
        <w:rPr>
          <w:rFonts w:hint="eastAsia" w:ascii="仿宋" w:hAnsi="仿宋" w:eastAsia="仿宋" w:cs="仿宋_GB2312"/>
          <w:color w:val="5B9BD5" w:themeColor="accent1"/>
          <w:kern w:val="2"/>
          <w:sz w:val="30"/>
          <w:szCs w:val="30"/>
          <w:lang w:val="en-US" w:eastAsia="zh-CN" w:bidi="ar"/>
          <w14:textFill>
            <w14:solidFill>
              <w14:schemeClr w14:val="accent1"/>
            </w14:solidFill>
          </w14:textFill>
        </w:rPr>
        <w:t xml:space="preserve">  </w:t>
      </w:r>
      <w:r>
        <w:rPr>
          <w:rFonts w:hint="eastAsia" w:ascii="仿宋_GB2312" w:hAnsi="楷体" w:eastAsia="仿宋_GB2312" w:cs="宋体"/>
          <w:b w:val="0"/>
          <w:bCs/>
          <w:color w:val="333333"/>
          <w:kern w:val="0"/>
          <w:sz w:val="32"/>
          <w:szCs w:val="32"/>
        </w:rPr>
        <w:t>（二）人员情况说明</w:t>
      </w:r>
    </w:p>
    <w:p>
      <w:p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现有行政、事业编制95名，其中，行政编制12名，事业编制83名。实有87人，其中公务员10名，行政工勤1人，事业人员76名。</w:t>
      </w:r>
    </w:p>
    <w:p>
      <w:pPr>
        <w:ind w:firstLine="640" w:firstLineChars="200"/>
        <w:rPr>
          <w:rFonts w:hint="eastAsia" w:ascii="黑体" w:hAnsi="黑体" w:eastAsia="黑体" w:cstheme="minorEastAsia"/>
          <w:color w:val="C00000"/>
          <w:sz w:val="32"/>
          <w:szCs w:val="32"/>
          <w:lang w:eastAsia="zh-CN"/>
        </w:rPr>
      </w:pPr>
      <w:r>
        <w:rPr>
          <w:rFonts w:hint="eastAsia" w:ascii="黑体" w:hAnsi="黑体" w:eastAsia="黑体" w:cstheme="minorEastAsia"/>
          <w:sz w:val="32"/>
          <w:szCs w:val="32"/>
          <w:lang w:eastAsia="zh-CN"/>
        </w:rPr>
        <w:t>三、预算收支增减变化情况说明</w:t>
      </w:r>
    </w:p>
    <w:p>
      <w:p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襄垣县农业农村局部门2020年度收入、支出预算总计  966.05万元，与上年相比收、支预算总计减少228.37万元，减少80.88%。主要原因是机构改革人员减少。其中：</w:t>
      </w:r>
    </w:p>
    <w:p>
      <w:p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（一）收入预算总计966.05 万元。包括：</w:t>
      </w:r>
    </w:p>
    <w:p>
      <w:p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1．财政拨款收入预算总计966.05万元。</w:t>
      </w:r>
    </w:p>
    <w:p>
      <w:p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（1）一般公共预算收入预算 966.05万元，与上年相比减少228.37万元，减少80.88%。主要原因是机构改革人员减少等原因。</w:t>
      </w:r>
    </w:p>
    <w:p>
      <w:p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（二）支出预算总计 966.05 万元。包括：</w:t>
      </w:r>
    </w:p>
    <w:p>
      <w:p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1．一般公共服务（类）支出 966.05万元，主要用于人员支出和项目支出。减少228.37万元，减少80.88%。主要原因是机构改革人员减少等原因。</w:t>
      </w:r>
    </w:p>
    <w:p>
      <w:p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2.项目支出预算数为56.91万元。与上年相比减少380.44万元，减少13.01%。主要原因是安排美丽乡村、有机旱作农业等项目少。</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eastAsia="zh-CN"/>
        </w:rPr>
        <w:t>四</w:t>
      </w:r>
      <w:r>
        <w:rPr>
          <w:rFonts w:hint="eastAsia" w:ascii="楷体" w:hAnsi="楷体" w:eastAsia="楷体" w:cstheme="minorEastAsia"/>
          <w:b w:val="0"/>
          <w:bCs/>
          <w:sz w:val="32"/>
          <w:szCs w:val="32"/>
        </w:rPr>
        <w:t>、</w:t>
      </w:r>
      <w:r>
        <w:rPr>
          <w:rFonts w:hint="eastAsia" w:ascii="楷体" w:hAnsi="楷体" w:eastAsia="楷体" w:cstheme="minorEastAsia"/>
          <w:b w:val="0"/>
          <w:bCs/>
          <w:sz w:val="32"/>
          <w:szCs w:val="32"/>
          <w:lang w:eastAsia="zh-CN"/>
        </w:rPr>
        <w:t>机关运行经费安排情况说明</w:t>
      </w:r>
    </w:p>
    <w:p>
      <w:pPr>
        <w:ind w:firstLine="640" w:firstLineChars="200"/>
        <w:rPr>
          <w:rFonts w:hint="default"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本单位机关运行经费支出预算数为44.02万元，较2019年减少35.38万元，其中：办公费支出4.79万元、印刷费支出3.5万元、差旅费支出6万元等。主要增减变化情况：人员经费减少35.38万元，原因是机构改革人员减少，经费安排少。</w:t>
      </w:r>
    </w:p>
    <w:p>
      <w:pPr>
        <w:ind w:firstLine="640" w:firstLineChars="200"/>
        <w:rPr>
          <w:rFonts w:hint="eastAsia" w:ascii="楷体" w:hAnsi="楷体" w:eastAsia="楷体" w:cstheme="minorEastAsia"/>
          <w:b w:val="0"/>
          <w:bCs/>
          <w:sz w:val="32"/>
          <w:szCs w:val="32"/>
        </w:rPr>
      </w:pPr>
      <w:r>
        <w:rPr>
          <w:rFonts w:hint="eastAsia" w:ascii="仿宋_GB2312" w:eastAsia="仿宋_GB2312" w:hAnsiTheme="minorEastAsia" w:cstheme="minorEastAsia"/>
          <w:color w:val="auto"/>
          <w:sz w:val="32"/>
          <w:szCs w:val="32"/>
          <w:lang w:eastAsia="zh-CN"/>
        </w:rPr>
        <w:t>五、</w:t>
      </w:r>
      <w:r>
        <w:rPr>
          <w:rFonts w:hint="eastAsia" w:ascii="楷体" w:hAnsi="楷体" w:eastAsia="楷体" w:cstheme="minorEastAsia"/>
          <w:b w:val="0"/>
          <w:bCs/>
          <w:sz w:val="32"/>
          <w:szCs w:val="32"/>
        </w:rPr>
        <w:t>政府采购</w:t>
      </w:r>
      <w:r>
        <w:rPr>
          <w:rFonts w:hint="eastAsia" w:ascii="楷体" w:hAnsi="楷体" w:eastAsia="楷体" w:cstheme="minorEastAsia"/>
          <w:b w:val="0"/>
          <w:bCs/>
          <w:sz w:val="32"/>
          <w:szCs w:val="32"/>
          <w:lang w:eastAsia="zh-CN"/>
        </w:rPr>
        <w:t>安排</w:t>
      </w:r>
      <w:r>
        <w:rPr>
          <w:rFonts w:hint="eastAsia" w:ascii="楷体" w:hAnsi="楷体" w:eastAsia="楷体" w:cstheme="minorEastAsia"/>
          <w:b w:val="0"/>
          <w:bCs/>
          <w:sz w:val="32"/>
          <w:szCs w:val="32"/>
        </w:rPr>
        <w:t>情况说明</w:t>
      </w:r>
    </w:p>
    <w:p>
      <w:pPr>
        <w:ind w:firstLine="640" w:firstLineChars="200"/>
        <w:rPr>
          <w:rFonts w:hint="default" w:ascii="仿宋_GB2312" w:hAnsi="仿宋_GB2312" w:eastAsia="仿宋_GB2312" w:cs="仿宋_GB2312"/>
          <w:color w:val="auto"/>
          <w:kern w:val="0"/>
          <w:sz w:val="32"/>
          <w:szCs w:val="32"/>
          <w:shd w:val="clear" w:color="auto" w:fill="FFFFFF"/>
          <w:lang w:val="en-US" w:eastAsia="zh-CN" w:bidi="ar-SA"/>
        </w:rPr>
      </w:pPr>
      <w:bookmarkStart w:id="0" w:name="_GoBack"/>
      <w:r>
        <w:rPr>
          <w:rFonts w:hint="eastAsia" w:ascii="仿宋_GB2312" w:hAnsi="仿宋_GB2312" w:eastAsia="仿宋_GB2312" w:cs="仿宋_GB2312"/>
          <w:color w:val="auto"/>
          <w:kern w:val="0"/>
          <w:sz w:val="32"/>
          <w:szCs w:val="32"/>
          <w:shd w:val="clear" w:color="auto" w:fill="FFFFFF"/>
          <w:lang w:val="en-US" w:eastAsia="zh-CN" w:bidi="ar-SA"/>
        </w:rPr>
        <w:t>本单位本年度无此项预算，固无此项说明情况。</w:t>
      </w:r>
    </w:p>
    <w:bookmarkEnd w:id="0"/>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eastAsia="zh-CN"/>
        </w:rPr>
        <w:t>六</w:t>
      </w:r>
      <w:r>
        <w:rPr>
          <w:rFonts w:hint="eastAsia" w:ascii="楷体" w:hAnsi="楷体" w:eastAsia="楷体" w:cstheme="minorEastAsia"/>
          <w:b w:val="0"/>
          <w:bCs/>
          <w:sz w:val="32"/>
          <w:szCs w:val="32"/>
        </w:rPr>
        <w:t>、</w:t>
      </w:r>
      <w:r>
        <w:rPr>
          <w:rFonts w:hint="eastAsia" w:ascii="楷体" w:hAnsi="楷体" w:eastAsia="楷体" w:cstheme="minorEastAsia"/>
          <w:b w:val="0"/>
          <w:bCs/>
          <w:sz w:val="32"/>
          <w:szCs w:val="32"/>
          <w:lang w:eastAsia="zh-CN"/>
        </w:rPr>
        <w:t>对专业性较强的名词进行解释</w:t>
      </w:r>
    </w:p>
    <w:p>
      <w:pPr>
        <w:pStyle w:val="4"/>
        <w:widowControl/>
        <w:spacing w:before="0" w:beforeAutospacing="0" w:after="0" w:afterAutospacing="0" w:line="30" w:lineRule="atLeast"/>
        <w:ind w:firstLine="640"/>
        <w:rPr>
          <w:rFonts w:hint="eastAsia" w:ascii="仿宋_GB2312" w:eastAsia="仿宋_GB2312" w:hAnsiTheme="minorEastAsia" w:cstheme="minorEastAsia"/>
          <w:kern w:val="2"/>
          <w:sz w:val="32"/>
          <w:szCs w:val="32"/>
          <w:lang w:val="en-US" w:eastAsia="zh-CN" w:bidi="ar-SA"/>
        </w:rPr>
      </w:pPr>
      <w:r>
        <w:rPr>
          <w:rFonts w:hint="eastAsia" w:ascii="仿宋_GB2312" w:eastAsia="仿宋_GB2312" w:hAnsiTheme="minorEastAsia" w:cstheme="minorEastAsia"/>
          <w:sz w:val="32"/>
          <w:szCs w:val="32"/>
          <w:lang w:eastAsia="zh-CN"/>
        </w:rPr>
        <w:t>（一）</w:t>
      </w:r>
      <w:r>
        <w:rPr>
          <w:rFonts w:hint="eastAsia" w:ascii="仿宋_GB2312" w:eastAsia="仿宋_GB2312" w:hAnsiTheme="minorEastAsia" w:cstheme="minorEastAsia"/>
          <w:kern w:val="2"/>
          <w:sz w:val="32"/>
          <w:szCs w:val="32"/>
          <w:lang w:val="en-US" w:eastAsia="zh-CN" w:bidi="ar-SA"/>
        </w:rPr>
        <w:t>测土配方：采土、化验、配方、肥料、制作、发放、施用等几个技术环节的总称。</w:t>
      </w:r>
    </w:p>
    <w:p>
      <w:pPr>
        <w:ind w:firstLine="640" w:firstLineChars="200"/>
        <w:rPr>
          <w:rFonts w:hint="eastAsia" w:ascii="仿宋_GB2312" w:eastAsia="仿宋_GB2312" w:hAnsiTheme="minorEastAsia" w:cstheme="minorEastAsia"/>
          <w:kern w:val="2"/>
          <w:sz w:val="32"/>
          <w:szCs w:val="32"/>
          <w:lang w:val="en-US" w:eastAsia="zh-CN" w:bidi="ar-SA"/>
        </w:rPr>
      </w:pPr>
      <w:r>
        <w:rPr>
          <w:rFonts w:hint="eastAsia" w:ascii="仿宋_GB2312" w:eastAsia="仿宋_GB2312" w:hAnsiTheme="minorEastAsia" w:cstheme="minorEastAsia"/>
          <w:sz w:val="32"/>
          <w:szCs w:val="32"/>
          <w:lang w:eastAsia="zh-CN"/>
        </w:rPr>
        <w:t>（二）</w:t>
      </w:r>
      <w:r>
        <w:rPr>
          <w:rFonts w:hint="eastAsia" w:ascii="仿宋_GB2312" w:eastAsia="仿宋_GB2312" w:hAnsiTheme="minorEastAsia" w:cstheme="minorEastAsia"/>
          <w:kern w:val="2"/>
          <w:sz w:val="32"/>
          <w:szCs w:val="32"/>
          <w:lang w:val="en-US" w:eastAsia="zh-CN" w:bidi="ar-SA"/>
        </w:rPr>
        <w:t>乡村振兴战略总要求：产业兴旺、生态宜居、乡风文明、治理有效、生活富裕、制度保障是建立健全城乡融合发展体制机制和政策体系。</w:t>
      </w:r>
    </w:p>
    <w:p>
      <w:pPr>
        <w:pStyle w:val="4"/>
        <w:widowControl/>
        <w:spacing w:before="0" w:beforeAutospacing="0" w:after="0" w:afterAutospacing="0" w:line="30" w:lineRule="atLeast"/>
        <w:ind w:firstLine="64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（三）</w:t>
      </w:r>
      <w:r>
        <w:rPr>
          <w:rFonts w:hint="eastAsia" w:ascii="仿宋_GB2312" w:eastAsia="仿宋_GB2312" w:hAnsiTheme="minorEastAsia" w:cstheme="minorEastAsia"/>
          <w:kern w:val="2"/>
          <w:sz w:val="32"/>
          <w:szCs w:val="32"/>
          <w:lang w:val="en-US" w:eastAsia="zh-CN" w:bidi="ar-SA"/>
        </w:rPr>
        <w:t>高标准建设：指土地平整、土壤肥沃、集中连片、设施完善、农电配套、生态良好、抗灾能力强、与现代农业生产和经营方式相适应，旱涝保收、持续高产稳产，划定为永久基本农田的耕地。</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（四）</w:t>
      </w:r>
      <w:r>
        <w:rPr>
          <w:rFonts w:hint="eastAsia" w:ascii="仿宋_GB2312" w:eastAsia="仿宋_GB2312" w:hAnsiTheme="minorEastAsia" w:cstheme="minorEastAsia"/>
          <w:kern w:val="2"/>
          <w:sz w:val="32"/>
          <w:szCs w:val="32"/>
          <w:lang w:val="en-US" w:eastAsia="zh-CN" w:bidi="ar-SA"/>
        </w:rPr>
        <w:t>绿色有机旱作农业：是实现人与自然和谐、发展与环境双赢的新型农业模式，是以“绿色”为特色、以“有机”为特质、以“旱作”为特征的农业体系，是以“绿色”为理念方向、以“有机旱作”为实践模式的农业类型。</w:t>
      </w:r>
    </w:p>
    <w:p>
      <w:pPr>
        <w:ind w:firstLine="640" w:firstLineChars="200"/>
        <w:rPr>
          <w:rFonts w:hint="eastAsia" w:ascii="楷体" w:hAnsi="楷体" w:eastAsia="楷体" w:cstheme="minorEastAsia"/>
          <w:b w:val="0"/>
          <w:bCs/>
          <w:sz w:val="32"/>
          <w:szCs w:val="32"/>
          <w:lang w:val="en-US" w:eastAsia="zh-CN"/>
        </w:rPr>
      </w:pPr>
      <w:r>
        <w:rPr>
          <w:rFonts w:hint="eastAsia" w:ascii="楷体" w:hAnsi="楷体" w:eastAsia="楷体" w:cstheme="minorEastAsia"/>
          <w:b w:val="0"/>
          <w:bCs/>
          <w:sz w:val="32"/>
          <w:szCs w:val="32"/>
          <w:lang w:eastAsia="zh-CN"/>
        </w:rPr>
        <w:t>七、国有</w:t>
      </w:r>
      <w:r>
        <w:rPr>
          <w:rFonts w:hint="eastAsia" w:ascii="楷体" w:hAnsi="楷体" w:eastAsia="楷体" w:cstheme="minorEastAsia"/>
          <w:b w:val="0"/>
          <w:bCs/>
          <w:sz w:val="32"/>
          <w:szCs w:val="32"/>
          <w:lang w:val="en-US" w:eastAsia="zh-CN"/>
        </w:rPr>
        <w:t>资产占用情况说明</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rPr>
        <w:t>截止20</w:t>
      </w:r>
      <w:r>
        <w:rPr>
          <w:rFonts w:hint="eastAsia" w:ascii="仿宋_GB2312" w:hAnsi="仿宋_GB2312" w:eastAsia="仿宋_GB2312" w:cs="仿宋_GB2312"/>
          <w:color w:val="auto"/>
          <w:sz w:val="32"/>
          <w:szCs w:val="32"/>
          <w:shd w:val="clear" w:color="auto" w:fill="FFFFFF"/>
          <w:lang w:val="en-US" w:eastAsia="zh-CN"/>
        </w:rPr>
        <w:t>19</w:t>
      </w:r>
      <w:r>
        <w:rPr>
          <w:rFonts w:hint="eastAsia" w:ascii="仿宋_GB2312" w:hAnsi="仿宋_GB2312" w:eastAsia="仿宋_GB2312" w:cs="仿宋_GB2312"/>
          <w:color w:val="auto"/>
          <w:sz w:val="32"/>
          <w:szCs w:val="32"/>
          <w:shd w:val="clear" w:color="auto" w:fill="FFFFFF"/>
        </w:rPr>
        <w:t>年12月31日，</w:t>
      </w:r>
      <w:r>
        <w:rPr>
          <w:rFonts w:hint="eastAsia" w:ascii="仿宋_GB2312" w:hAnsi="仿宋_GB2312" w:eastAsia="仿宋_GB2312" w:cs="仿宋_GB2312"/>
          <w:color w:val="auto"/>
          <w:sz w:val="32"/>
          <w:szCs w:val="32"/>
          <w:shd w:val="clear" w:color="auto" w:fill="FFFFFF"/>
          <w:lang w:eastAsia="zh-CN"/>
        </w:rPr>
        <w:t>本单位</w:t>
      </w:r>
      <w:r>
        <w:rPr>
          <w:rFonts w:hint="eastAsia" w:ascii="仿宋_GB2312" w:hAnsi="仿宋_GB2312" w:eastAsia="仿宋_GB2312" w:cs="仿宋_GB2312"/>
          <w:color w:val="auto"/>
          <w:sz w:val="32"/>
          <w:szCs w:val="32"/>
          <w:shd w:val="clear" w:color="auto" w:fill="FFFFFF"/>
        </w:rPr>
        <w:t>资产总额</w:t>
      </w:r>
      <w:r>
        <w:rPr>
          <w:rFonts w:hint="eastAsia" w:ascii="仿宋_GB2312" w:hAnsi="仿宋_GB2312" w:eastAsia="仿宋_GB2312" w:cs="仿宋_GB2312"/>
          <w:color w:val="auto"/>
          <w:sz w:val="32"/>
          <w:szCs w:val="32"/>
          <w:shd w:val="clear" w:color="auto" w:fill="FFFFFF"/>
          <w:lang w:val="en-US" w:eastAsia="zh-CN"/>
        </w:rPr>
        <w:t xml:space="preserve"> 8568.66</w:t>
      </w:r>
      <w:r>
        <w:rPr>
          <w:rFonts w:hint="eastAsia" w:ascii="仿宋_GB2312" w:hAnsi="仿宋_GB2312" w:eastAsia="仿宋_GB2312" w:cs="仿宋_GB2312"/>
          <w:color w:val="auto"/>
          <w:sz w:val="32"/>
          <w:szCs w:val="32"/>
          <w:shd w:val="clear" w:color="auto" w:fill="FFFFFF"/>
        </w:rPr>
        <w:t>万元，其中流动资产</w:t>
      </w:r>
      <w:r>
        <w:rPr>
          <w:rFonts w:hint="eastAsia" w:ascii="仿宋_GB2312" w:hAnsi="仿宋_GB2312" w:eastAsia="仿宋_GB2312" w:cs="仿宋_GB2312"/>
          <w:color w:val="auto"/>
          <w:sz w:val="32"/>
          <w:szCs w:val="32"/>
          <w:shd w:val="clear" w:color="auto" w:fill="FFFFFF"/>
          <w:lang w:val="en-US" w:eastAsia="zh-CN"/>
        </w:rPr>
        <w:t xml:space="preserve"> 4472.49</w:t>
      </w:r>
      <w:r>
        <w:rPr>
          <w:rFonts w:hint="eastAsia" w:ascii="仿宋_GB2312" w:hAnsi="仿宋_GB2312" w:eastAsia="仿宋_GB2312" w:cs="仿宋_GB2312"/>
          <w:color w:val="auto"/>
          <w:sz w:val="32"/>
          <w:szCs w:val="32"/>
          <w:shd w:val="clear" w:color="auto" w:fill="FFFFFF"/>
        </w:rPr>
        <w:t>万元，固定资产</w:t>
      </w:r>
      <w:r>
        <w:rPr>
          <w:rFonts w:hint="eastAsia" w:ascii="仿宋_GB2312" w:hAnsi="仿宋_GB2312" w:eastAsia="仿宋_GB2312" w:cs="仿宋_GB2312"/>
          <w:color w:val="auto"/>
          <w:sz w:val="32"/>
          <w:szCs w:val="32"/>
          <w:shd w:val="clear" w:color="auto" w:fill="FFFFFF"/>
          <w:lang w:val="en-US" w:eastAsia="zh-CN"/>
        </w:rPr>
        <w:t xml:space="preserve"> 596.93</w:t>
      </w:r>
      <w:r>
        <w:rPr>
          <w:rFonts w:hint="eastAsia" w:ascii="仿宋_GB2312" w:hAnsi="仿宋_GB2312" w:eastAsia="仿宋_GB2312" w:cs="仿宋_GB2312"/>
          <w:color w:val="auto"/>
          <w:sz w:val="32"/>
          <w:szCs w:val="32"/>
          <w:shd w:val="clear" w:color="auto" w:fill="FFFFFF"/>
        </w:rPr>
        <w:t>万元，在建工程</w:t>
      </w:r>
      <w:r>
        <w:rPr>
          <w:rFonts w:hint="eastAsia" w:ascii="仿宋_GB2312" w:hAnsi="仿宋_GB2312" w:eastAsia="仿宋_GB2312" w:cs="仿宋_GB2312"/>
          <w:color w:val="auto"/>
          <w:sz w:val="32"/>
          <w:szCs w:val="32"/>
          <w:shd w:val="clear" w:color="auto" w:fill="FFFFFF"/>
          <w:lang w:val="en-US" w:eastAsia="zh-CN"/>
        </w:rPr>
        <w:t xml:space="preserve"> 4026.6</w:t>
      </w:r>
      <w:r>
        <w:rPr>
          <w:rFonts w:hint="eastAsia" w:ascii="仿宋_GB2312" w:hAnsi="仿宋_GB2312" w:eastAsia="仿宋_GB2312" w:cs="仿宋_GB2312"/>
          <w:color w:val="auto"/>
          <w:sz w:val="32"/>
          <w:szCs w:val="32"/>
          <w:shd w:val="clear" w:color="auto" w:fill="FFFFFF"/>
        </w:rPr>
        <w:t>万元，无形资产</w:t>
      </w:r>
      <w:r>
        <w:rPr>
          <w:rFonts w:hint="eastAsia" w:ascii="仿宋_GB2312" w:hAnsi="仿宋_GB2312" w:eastAsia="仿宋_GB2312" w:cs="仿宋_GB2312"/>
          <w:color w:val="auto"/>
          <w:sz w:val="32"/>
          <w:szCs w:val="32"/>
          <w:shd w:val="clear" w:color="auto" w:fill="FFFFFF"/>
          <w:lang w:val="en-US" w:eastAsia="zh-CN"/>
        </w:rPr>
        <w:t xml:space="preserve">0.2 </w:t>
      </w:r>
      <w:r>
        <w:rPr>
          <w:rFonts w:hint="eastAsia" w:ascii="仿宋_GB2312" w:hAnsi="仿宋_GB2312" w:eastAsia="仿宋_GB2312" w:cs="仿宋_GB2312"/>
          <w:color w:val="auto"/>
          <w:sz w:val="32"/>
          <w:szCs w:val="32"/>
          <w:shd w:val="clear" w:color="auto" w:fill="FFFFFF"/>
        </w:rPr>
        <w:t>万元</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固定资产当中，房屋构筑物</w:t>
      </w:r>
      <w:r>
        <w:rPr>
          <w:rFonts w:hint="eastAsia" w:ascii="仿宋_GB2312" w:hAnsi="仿宋_GB2312" w:eastAsia="仿宋_GB2312" w:cs="仿宋_GB2312"/>
          <w:color w:val="auto"/>
          <w:sz w:val="32"/>
          <w:szCs w:val="32"/>
          <w:shd w:val="clear" w:color="auto" w:fill="FFFFFF"/>
          <w:lang w:val="en-US" w:eastAsia="zh-CN"/>
        </w:rPr>
        <w:t xml:space="preserve"> 49.36</w:t>
      </w:r>
      <w:r>
        <w:rPr>
          <w:rFonts w:hint="eastAsia" w:ascii="仿宋_GB2312" w:hAnsi="仿宋_GB2312" w:eastAsia="仿宋_GB2312" w:cs="仿宋_GB2312"/>
          <w:color w:val="auto"/>
          <w:sz w:val="32"/>
          <w:szCs w:val="32"/>
          <w:shd w:val="clear" w:color="auto" w:fill="FFFFFF"/>
        </w:rPr>
        <w:t>万元，汽车</w:t>
      </w:r>
      <w:r>
        <w:rPr>
          <w:rFonts w:hint="eastAsia" w:ascii="仿宋_GB2312" w:hAnsi="仿宋_GB2312" w:eastAsia="仿宋_GB2312" w:cs="仿宋_GB2312"/>
          <w:color w:val="auto"/>
          <w:sz w:val="32"/>
          <w:szCs w:val="32"/>
          <w:shd w:val="clear" w:color="auto" w:fill="FFFFFF"/>
          <w:lang w:val="en-US" w:eastAsia="zh-CN"/>
        </w:rPr>
        <w:t xml:space="preserve"> 16 </w:t>
      </w:r>
      <w:r>
        <w:rPr>
          <w:rFonts w:hint="eastAsia" w:ascii="仿宋_GB2312" w:hAnsi="仿宋_GB2312" w:eastAsia="仿宋_GB2312" w:cs="仿宋_GB2312"/>
          <w:color w:val="auto"/>
          <w:sz w:val="32"/>
          <w:szCs w:val="32"/>
          <w:shd w:val="clear" w:color="auto" w:fill="FFFFFF"/>
        </w:rPr>
        <w:t>辆</w:t>
      </w:r>
      <w:r>
        <w:rPr>
          <w:rFonts w:hint="eastAsia" w:ascii="仿宋_GB2312" w:hAnsi="仿宋_GB2312" w:eastAsia="仿宋_GB2312" w:cs="仿宋_GB2312"/>
          <w:color w:val="auto"/>
          <w:sz w:val="32"/>
          <w:szCs w:val="32"/>
          <w:shd w:val="clear" w:color="auto" w:fill="FFFFFF"/>
          <w:lang w:val="en-US" w:eastAsia="zh-CN"/>
        </w:rPr>
        <w:t xml:space="preserve"> 115.17</w:t>
      </w:r>
      <w:r>
        <w:rPr>
          <w:rFonts w:hint="eastAsia" w:ascii="仿宋_GB2312" w:hAnsi="仿宋_GB2312" w:eastAsia="仿宋_GB2312" w:cs="仿宋_GB2312"/>
          <w:color w:val="auto"/>
          <w:sz w:val="32"/>
          <w:szCs w:val="32"/>
          <w:shd w:val="clear" w:color="auto" w:fill="FFFFFF"/>
        </w:rPr>
        <w:t>万元，单价200万元以上大型设备价值</w:t>
      </w:r>
      <w:r>
        <w:rPr>
          <w:rFonts w:hint="eastAsia" w:ascii="仿宋_GB2312" w:hAnsi="仿宋_GB2312" w:eastAsia="仿宋_GB2312" w:cs="仿宋_GB2312"/>
          <w:color w:val="auto"/>
          <w:sz w:val="32"/>
          <w:szCs w:val="32"/>
          <w:shd w:val="clear" w:color="auto" w:fill="FFFFFF"/>
          <w:lang w:val="en-US" w:eastAsia="zh-CN"/>
        </w:rPr>
        <w:t xml:space="preserve"> 0 </w:t>
      </w:r>
      <w:r>
        <w:rPr>
          <w:rFonts w:hint="eastAsia" w:ascii="仿宋_GB2312" w:hAnsi="仿宋_GB2312" w:eastAsia="仿宋_GB2312" w:cs="仿宋_GB2312"/>
          <w:color w:val="auto"/>
          <w:sz w:val="32"/>
          <w:szCs w:val="32"/>
          <w:shd w:val="clear" w:color="auto" w:fill="FFFFFF"/>
        </w:rPr>
        <w:t>万元，其他固定资产</w:t>
      </w:r>
      <w:r>
        <w:rPr>
          <w:rFonts w:hint="eastAsia" w:ascii="仿宋_GB2312" w:hAnsi="仿宋_GB2312" w:eastAsia="仿宋_GB2312" w:cs="仿宋_GB2312"/>
          <w:color w:val="auto"/>
          <w:sz w:val="32"/>
          <w:szCs w:val="32"/>
          <w:shd w:val="clear" w:color="auto" w:fill="FFFFFF"/>
          <w:lang w:val="en-US" w:eastAsia="zh-CN"/>
        </w:rPr>
        <w:t xml:space="preserve">0 </w:t>
      </w:r>
      <w:r>
        <w:rPr>
          <w:rFonts w:hint="eastAsia" w:ascii="仿宋_GB2312" w:hAnsi="仿宋_GB2312" w:eastAsia="仿宋_GB2312" w:cs="仿宋_GB2312"/>
          <w:color w:val="auto"/>
          <w:sz w:val="32"/>
          <w:szCs w:val="32"/>
          <w:shd w:val="clear" w:color="auto" w:fill="FFFFFF"/>
        </w:rPr>
        <w:t>万元。 </w:t>
      </w:r>
    </w:p>
    <w:p>
      <w:pPr>
        <w:pStyle w:val="4"/>
        <w:keepNext w:val="0"/>
        <w:keepLines w:val="0"/>
        <w:widowControl/>
        <w:suppressLineNumbers w:val="0"/>
        <w:spacing w:before="150" w:beforeAutospacing="0" w:after="150" w:afterAutospacing="0" w:line="465" w:lineRule="atLeast"/>
        <w:ind w:right="0"/>
        <w:jc w:val="both"/>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与上年相比，本年资产总额增加</w:t>
      </w:r>
      <w:r>
        <w:rPr>
          <w:rFonts w:hint="eastAsia" w:ascii="仿宋_GB2312" w:hAnsi="仿宋_GB2312" w:eastAsia="仿宋_GB2312" w:cs="仿宋_GB2312"/>
          <w:color w:val="auto"/>
          <w:sz w:val="32"/>
          <w:szCs w:val="32"/>
          <w:shd w:val="clear" w:color="auto" w:fill="FFFFFF"/>
          <w:lang w:val="en-US" w:eastAsia="zh-CN"/>
        </w:rPr>
        <w:t xml:space="preserve"> 4.9</w:t>
      </w:r>
      <w:r>
        <w:rPr>
          <w:rFonts w:hint="eastAsia" w:ascii="仿宋_GB2312" w:hAnsi="仿宋_GB2312" w:eastAsia="仿宋_GB2312" w:cs="仿宋_GB2312"/>
          <w:color w:val="auto"/>
          <w:sz w:val="32"/>
          <w:szCs w:val="32"/>
          <w:shd w:val="clear" w:color="auto" w:fill="FFFFFF"/>
        </w:rPr>
        <w:t>万元。 </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楷体" w:hAnsi="楷体" w:eastAsia="楷体" w:cstheme="minorEastAsia"/>
          <w:b w:val="0"/>
          <w:bCs/>
          <w:sz w:val="32"/>
          <w:szCs w:val="32"/>
          <w:lang w:val="en-US" w:eastAsia="zh-CN"/>
        </w:rPr>
      </w:pPr>
      <w:r>
        <w:rPr>
          <w:rFonts w:hint="eastAsia" w:ascii="楷体" w:hAnsi="楷体" w:eastAsia="楷体" w:cstheme="minorEastAsia"/>
          <w:b w:val="0"/>
          <w:bCs/>
          <w:sz w:val="32"/>
          <w:szCs w:val="32"/>
          <w:lang w:val="en-US" w:eastAsia="zh-CN"/>
        </w:rPr>
        <w:t>八、重点项目预算的绩效目标等预算绩效情况说明</w:t>
      </w:r>
    </w:p>
    <w:p>
      <w:pPr>
        <w:ind w:firstLine="640" w:firstLineChars="200"/>
        <w:rPr>
          <w:rFonts w:hint="default" w:ascii="仿宋_GB2312" w:hAnsi="仿宋_GB2312" w:eastAsia="仿宋_GB2312" w:cs="仿宋_GB2312"/>
          <w:color w:val="auto"/>
          <w:kern w:val="0"/>
          <w:sz w:val="32"/>
          <w:szCs w:val="32"/>
          <w:shd w:val="clear" w:color="auto" w:fill="FFFFFF"/>
          <w:lang w:val="en-US" w:eastAsia="zh-CN" w:bidi="ar-SA"/>
        </w:rPr>
      </w:pPr>
      <w:r>
        <w:rPr>
          <w:rFonts w:hint="eastAsia" w:ascii="仿宋_GB2312" w:hAnsi="仿宋_GB2312" w:eastAsia="仿宋_GB2312" w:cs="仿宋_GB2312"/>
          <w:color w:val="auto"/>
          <w:kern w:val="0"/>
          <w:sz w:val="32"/>
          <w:szCs w:val="32"/>
          <w:shd w:val="clear" w:color="auto" w:fill="FFFFFF"/>
          <w:lang w:val="en-US" w:eastAsia="zh-CN" w:bidi="ar-SA"/>
        </w:rPr>
        <w:t>本单位本年度无此项预算，固无此项说明情况。</w:t>
      </w:r>
    </w:p>
    <w:p>
      <w:pPr>
        <w:ind w:firstLine="320" w:firstLineChars="1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val="en-US" w:eastAsia="zh-CN"/>
        </w:rPr>
        <w:t>九、</w:t>
      </w:r>
      <w:r>
        <w:rPr>
          <w:rFonts w:hint="eastAsia" w:ascii="楷体" w:hAnsi="楷体" w:eastAsia="楷体" w:cstheme="minorEastAsia"/>
          <w:b w:val="0"/>
          <w:bCs/>
          <w:sz w:val="32"/>
          <w:szCs w:val="32"/>
        </w:rPr>
        <w:t>一般公共预算“三公”经费支出</w:t>
      </w:r>
      <w:r>
        <w:rPr>
          <w:rFonts w:hint="eastAsia" w:ascii="楷体" w:hAnsi="楷体" w:eastAsia="楷体" w:cstheme="minorEastAsia"/>
          <w:b w:val="0"/>
          <w:bCs/>
          <w:sz w:val="32"/>
          <w:szCs w:val="32"/>
          <w:lang w:eastAsia="zh-CN"/>
        </w:rPr>
        <w:t>增减变化原因等说明</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本部门20</w:t>
      </w:r>
      <w:r>
        <w:rPr>
          <w:rFonts w:hint="eastAsia" w:ascii="仿宋_GB2312" w:hAnsi="仿宋_GB2312" w:eastAsia="仿宋_GB2312" w:cs="仿宋_GB2312"/>
          <w:color w:val="auto"/>
          <w:sz w:val="32"/>
          <w:szCs w:val="32"/>
          <w:shd w:val="clear" w:color="auto" w:fill="FFFFFF"/>
          <w:lang w:val="en-US" w:eastAsia="zh-CN"/>
        </w:rPr>
        <w:t>20</w:t>
      </w:r>
      <w:r>
        <w:rPr>
          <w:rFonts w:hint="eastAsia" w:ascii="仿宋_GB2312" w:hAnsi="仿宋_GB2312" w:eastAsia="仿宋_GB2312" w:cs="仿宋_GB2312"/>
          <w:color w:val="auto"/>
          <w:sz w:val="32"/>
          <w:szCs w:val="32"/>
          <w:shd w:val="clear" w:color="auto" w:fill="FFFFFF"/>
        </w:rPr>
        <w:t>年度一般公共预算“三公”经费预算数为</w:t>
      </w:r>
      <w:r>
        <w:rPr>
          <w:rFonts w:hint="eastAsia" w:ascii="仿宋_GB2312" w:hAnsi="仿宋_GB2312" w:eastAsia="仿宋_GB2312" w:cs="仿宋_GB2312"/>
          <w:color w:val="auto"/>
          <w:sz w:val="32"/>
          <w:szCs w:val="32"/>
          <w:shd w:val="clear" w:color="auto" w:fill="FFFFFF"/>
          <w:lang w:val="en-US" w:eastAsia="zh-CN"/>
        </w:rPr>
        <w:t>4.63</w:t>
      </w:r>
      <w:r>
        <w:rPr>
          <w:rFonts w:hint="eastAsia" w:ascii="仿宋_GB2312" w:hAnsi="仿宋_GB2312" w:eastAsia="仿宋_GB2312" w:cs="仿宋_GB2312"/>
          <w:color w:val="auto"/>
          <w:sz w:val="32"/>
          <w:szCs w:val="32"/>
          <w:shd w:val="clear" w:color="auto" w:fill="FFFFFF"/>
        </w:rPr>
        <w:t>万元，</w:t>
      </w:r>
      <w:r>
        <w:rPr>
          <w:rFonts w:hint="eastAsia" w:ascii="仿宋_GB2312" w:hAnsi="仿宋_GB2312" w:eastAsia="仿宋_GB2312" w:cs="仿宋_GB2312"/>
          <w:color w:val="auto"/>
          <w:sz w:val="32"/>
          <w:szCs w:val="32"/>
          <w:shd w:val="clear" w:color="auto" w:fill="FFFFFF"/>
          <w:lang w:val="en-US" w:eastAsia="zh-CN"/>
        </w:rPr>
        <w:t xml:space="preserve"> </w:t>
      </w:r>
      <w:r>
        <w:rPr>
          <w:rFonts w:hint="eastAsia" w:ascii="仿宋_GB2312" w:hAnsi="仿宋_GB2312" w:eastAsia="仿宋_GB2312" w:cs="仿宋_GB2312"/>
          <w:color w:val="auto"/>
          <w:sz w:val="32"/>
          <w:szCs w:val="32"/>
          <w:shd w:val="clear" w:color="auto" w:fill="FFFFFF"/>
        </w:rPr>
        <w:t>较20</w:t>
      </w:r>
      <w:r>
        <w:rPr>
          <w:rFonts w:hint="eastAsia" w:ascii="仿宋_GB2312" w:hAnsi="仿宋_GB2312" w:eastAsia="仿宋_GB2312" w:cs="仿宋_GB2312"/>
          <w:color w:val="auto"/>
          <w:sz w:val="32"/>
          <w:szCs w:val="32"/>
          <w:shd w:val="clear" w:color="auto" w:fill="FFFFFF"/>
          <w:lang w:val="en-US" w:eastAsia="zh-CN"/>
        </w:rPr>
        <w:t>19</w:t>
      </w:r>
      <w:r>
        <w:rPr>
          <w:rFonts w:hint="eastAsia" w:ascii="仿宋_GB2312" w:hAnsi="仿宋_GB2312" w:eastAsia="仿宋_GB2312" w:cs="仿宋_GB2312"/>
          <w:color w:val="auto"/>
          <w:sz w:val="32"/>
          <w:szCs w:val="32"/>
          <w:shd w:val="clear" w:color="auto" w:fill="FFFFFF"/>
        </w:rPr>
        <w:t>年减少</w:t>
      </w:r>
      <w:r>
        <w:rPr>
          <w:rFonts w:hint="eastAsia" w:ascii="仿宋_GB2312" w:hAnsi="仿宋_GB2312" w:eastAsia="仿宋_GB2312" w:cs="仿宋_GB2312"/>
          <w:color w:val="auto"/>
          <w:sz w:val="32"/>
          <w:szCs w:val="32"/>
          <w:shd w:val="clear" w:color="auto" w:fill="FFFFFF"/>
          <w:lang w:val="en-US" w:eastAsia="zh-CN"/>
        </w:rPr>
        <w:t xml:space="preserve"> 0.57</w:t>
      </w:r>
      <w:r>
        <w:rPr>
          <w:rFonts w:hint="eastAsia" w:ascii="仿宋_GB2312" w:hAnsi="仿宋_GB2312" w:eastAsia="仿宋_GB2312" w:cs="仿宋_GB2312"/>
          <w:color w:val="auto"/>
          <w:sz w:val="32"/>
          <w:szCs w:val="32"/>
          <w:shd w:val="clear" w:color="auto" w:fill="FFFFFF"/>
        </w:rPr>
        <w:t>万元，下降</w:t>
      </w:r>
      <w:r>
        <w:rPr>
          <w:rFonts w:hint="eastAsia" w:ascii="仿宋_GB2312" w:hAnsi="仿宋_GB2312" w:eastAsia="仿宋_GB2312" w:cs="仿宋_GB2312"/>
          <w:color w:val="auto"/>
          <w:sz w:val="32"/>
          <w:szCs w:val="32"/>
          <w:shd w:val="clear" w:color="auto" w:fill="FFFFFF"/>
          <w:lang w:val="en-US" w:eastAsia="zh-CN"/>
        </w:rPr>
        <w:t xml:space="preserve"> 89.04 </w:t>
      </w:r>
      <w:r>
        <w:rPr>
          <w:rFonts w:hint="eastAsia" w:ascii="仿宋_GB2312" w:hAnsi="仿宋_GB2312" w:eastAsia="仿宋_GB2312" w:cs="仿宋_GB2312"/>
          <w:color w:val="auto"/>
          <w:sz w:val="32"/>
          <w:szCs w:val="32"/>
          <w:shd w:val="clear" w:color="auto" w:fill="FFFFFF"/>
        </w:rPr>
        <w:t>%，其中：</w:t>
      </w:r>
    </w:p>
    <w:p>
      <w:pPr>
        <w:pStyle w:val="4"/>
        <w:keepNext w:val="0"/>
        <w:keepLines w:val="0"/>
        <w:widowControl/>
        <w:suppressLineNumbers w:val="0"/>
        <w:spacing w:before="150" w:beforeAutospacing="0" w:after="150" w:afterAutospacing="0" w:line="465" w:lineRule="atLeast"/>
        <w:ind w:left="0" w:right="0" w:firstLine="555"/>
        <w:jc w:val="both"/>
        <w:rPr>
          <w:rFonts w:hint="default" w:ascii="仿宋_GB2312" w:hAnsi="仿宋_GB2312" w:eastAsia="仿宋_GB2312" w:cs="仿宋_GB2312"/>
          <w:color w:val="auto"/>
          <w:sz w:val="32"/>
          <w:szCs w:val="32"/>
          <w:shd w:val="clear" w:color="auto" w:fill="FFFFFF"/>
          <w:lang w:val="en-US" w:eastAsia="zh-CN"/>
        </w:rPr>
      </w:pPr>
      <w:r>
        <w:rPr>
          <w:rFonts w:hint="eastAsia" w:ascii="仿宋_GB2312" w:hAnsi="仿宋_GB2312" w:eastAsia="仿宋_GB2312" w:cs="仿宋_GB2312"/>
          <w:color w:val="auto"/>
          <w:sz w:val="32"/>
          <w:szCs w:val="32"/>
          <w:shd w:val="clear" w:color="auto" w:fill="FFFFFF"/>
        </w:rPr>
        <w:t>（</w:t>
      </w:r>
      <w:r>
        <w:rPr>
          <w:rFonts w:hint="eastAsia" w:ascii="仿宋_GB2312" w:hAnsi="仿宋_GB2312" w:eastAsia="仿宋_GB2312" w:cs="仿宋_GB2312"/>
          <w:color w:val="auto"/>
          <w:sz w:val="32"/>
          <w:szCs w:val="32"/>
          <w:shd w:val="clear" w:color="auto" w:fill="FFFFFF"/>
          <w:lang w:val="en-US" w:eastAsia="zh-CN"/>
        </w:rPr>
        <w:t>一</w:t>
      </w:r>
      <w:r>
        <w:rPr>
          <w:rFonts w:hint="eastAsia" w:ascii="仿宋_GB2312" w:hAnsi="仿宋_GB2312" w:eastAsia="仿宋_GB2312" w:cs="仿宋_GB2312"/>
          <w:color w:val="auto"/>
          <w:sz w:val="32"/>
          <w:szCs w:val="32"/>
          <w:shd w:val="clear" w:color="auto" w:fill="FFFFFF"/>
        </w:rPr>
        <w:t>）公务接待费支出年初预算数为</w:t>
      </w:r>
      <w:r>
        <w:rPr>
          <w:rFonts w:hint="eastAsia" w:ascii="仿宋_GB2312" w:hAnsi="仿宋_GB2312" w:eastAsia="仿宋_GB2312" w:cs="仿宋_GB2312"/>
          <w:color w:val="auto"/>
          <w:sz w:val="32"/>
          <w:szCs w:val="32"/>
          <w:shd w:val="clear" w:color="auto" w:fill="FFFFFF"/>
          <w:lang w:val="en-US" w:eastAsia="zh-CN"/>
        </w:rPr>
        <w:t xml:space="preserve"> 1.63</w:t>
      </w:r>
      <w:r>
        <w:rPr>
          <w:rFonts w:hint="eastAsia" w:ascii="仿宋_GB2312" w:hAnsi="仿宋_GB2312" w:eastAsia="仿宋_GB2312" w:cs="仿宋_GB2312"/>
          <w:color w:val="auto"/>
          <w:sz w:val="32"/>
          <w:szCs w:val="32"/>
          <w:shd w:val="clear" w:color="auto" w:fill="FFFFFF"/>
        </w:rPr>
        <w:t>万元，较201</w:t>
      </w:r>
      <w:r>
        <w:rPr>
          <w:rFonts w:hint="eastAsia" w:ascii="仿宋_GB2312" w:hAnsi="仿宋_GB2312" w:eastAsia="仿宋_GB2312" w:cs="仿宋_GB2312"/>
          <w:color w:val="auto"/>
          <w:sz w:val="32"/>
          <w:szCs w:val="32"/>
          <w:shd w:val="clear" w:color="auto" w:fill="FFFFFF"/>
          <w:lang w:val="en-US" w:eastAsia="zh-CN"/>
        </w:rPr>
        <w:t>9</w:t>
      </w:r>
      <w:r>
        <w:rPr>
          <w:rFonts w:hint="eastAsia" w:ascii="仿宋_GB2312" w:hAnsi="仿宋_GB2312" w:eastAsia="仿宋_GB2312" w:cs="仿宋_GB2312"/>
          <w:color w:val="auto"/>
          <w:sz w:val="32"/>
          <w:szCs w:val="32"/>
          <w:shd w:val="clear" w:color="auto" w:fill="FFFFFF"/>
        </w:rPr>
        <w:t>年减少</w:t>
      </w:r>
      <w:r>
        <w:rPr>
          <w:rFonts w:hint="eastAsia" w:ascii="仿宋_GB2312" w:hAnsi="仿宋_GB2312" w:eastAsia="仿宋_GB2312" w:cs="仿宋_GB2312"/>
          <w:color w:val="auto"/>
          <w:sz w:val="32"/>
          <w:szCs w:val="32"/>
          <w:shd w:val="clear" w:color="auto" w:fill="FFFFFF"/>
          <w:lang w:val="en-US" w:eastAsia="zh-CN"/>
        </w:rPr>
        <w:t>0.43</w:t>
      </w:r>
      <w:r>
        <w:rPr>
          <w:rFonts w:hint="eastAsia" w:ascii="仿宋_GB2312" w:hAnsi="仿宋_GB2312" w:eastAsia="仿宋_GB2312" w:cs="仿宋_GB2312"/>
          <w:color w:val="auto"/>
          <w:sz w:val="32"/>
          <w:szCs w:val="32"/>
          <w:shd w:val="clear" w:color="auto" w:fill="FFFFFF"/>
        </w:rPr>
        <w:t>万元，下降</w:t>
      </w:r>
      <w:r>
        <w:rPr>
          <w:rFonts w:hint="eastAsia" w:ascii="仿宋_GB2312" w:hAnsi="仿宋_GB2312" w:eastAsia="仿宋_GB2312" w:cs="仿宋_GB2312"/>
          <w:color w:val="auto"/>
          <w:sz w:val="32"/>
          <w:szCs w:val="32"/>
          <w:shd w:val="clear" w:color="auto" w:fill="FFFFFF"/>
          <w:lang w:val="en-US" w:eastAsia="zh-CN"/>
        </w:rPr>
        <w:t xml:space="preserve">73.62 </w:t>
      </w:r>
      <w:r>
        <w:rPr>
          <w:rFonts w:hint="eastAsia" w:ascii="仿宋_GB2312" w:hAnsi="仿宋_GB2312" w:eastAsia="仿宋_GB2312" w:cs="仿宋_GB2312"/>
          <w:color w:val="auto"/>
          <w:sz w:val="32"/>
          <w:szCs w:val="32"/>
          <w:shd w:val="clear" w:color="auto" w:fill="FFFFFF"/>
        </w:rPr>
        <w:t>%。主要原因是：专项活动减少。</w:t>
      </w:r>
      <w:r>
        <w:rPr>
          <w:rFonts w:hint="eastAsia" w:ascii="仿宋_GB2312" w:hAnsi="仿宋_GB2312" w:eastAsia="仿宋_GB2312" w:cs="仿宋_GB2312"/>
          <w:color w:val="auto"/>
          <w:sz w:val="32"/>
          <w:szCs w:val="32"/>
          <w:shd w:val="clear" w:color="auto" w:fill="FFFFFF"/>
          <w:lang w:eastAsia="zh-CN"/>
        </w:rPr>
        <w:t>本年度国内公务接待共</w:t>
      </w:r>
      <w:r>
        <w:rPr>
          <w:rFonts w:hint="eastAsia" w:ascii="仿宋_GB2312" w:hAnsi="仿宋_GB2312" w:eastAsia="仿宋_GB2312" w:cs="仿宋_GB2312"/>
          <w:color w:val="auto"/>
          <w:sz w:val="32"/>
          <w:szCs w:val="32"/>
          <w:shd w:val="clear" w:color="auto" w:fill="FFFFFF"/>
          <w:lang w:val="en-US" w:eastAsia="zh-CN"/>
        </w:rPr>
        <w:t>3 批次，共38人。</w:t>
      </w:r>
    </w:p>
    <w:p>
      <w:pPr>
        <w:pStyle w:val="4"/>
        <w:keepNext w:val="0"/>
        <w:keepLines w:val="0"/>
        <w:widowControl/>
        <w:suppressLineNumbers w:val="0"/>
        <w:spacing w:before="150" w:beforeAutospacing="0" w:after="150" w:afterAutospacing="0" w:line="465" w:lineRule="atLeast"/>
        <w:ind w:left="0" w:right="0" w:firstLine="555"/>
        <w:jc w:val="both"/>
        <w:rPr>
          <w:rFonts w:hint="default" w:ascii="仿宋_GB2312" w:hAnsi="仿宋_GB2312" w:eastAsia="仿宋_GB2312" w:cs="仿宋_GB2312"/>
          <w:color w:val="auto"/>
          <w:sz w:val="32"/>
          <w:szCs w:val="32"/>
          <w:shd w:val="clear" w:color="auto" w:fill="FFFFFF"/>
          <w:lang w:val="en-US" w:eastAsia="zh-CN"/>
        </w:rPr>
      </w:pPr>
      <w:r>
        <w:rPr>
          <w:rFonts w:hint="eastAsia" w:ascii="仿宋_GB2312" w:hAnsi="仿宋_GB2312" w:eastAsia="仿宋_GB2312" w:cs="仿宋_GB2312"/>
          <w:color w:val="auto"/>
          <w:sz w:val="32"/>
          <w:szCs w:val="32"/>
          <w:shd w:val="clear" w:color="auto" w:fill="FFFFFF"/>
        </w:rPr>
        <w:t>（</w:t>
      </w:r>
      <w:r>
        <w:rPr>
          <w:rFonts w:hint="eastAsia" w:ascii="仿宋_GB2312" w:hAnsi="仿宋_GB2312" w:eastAsia="仿宋_GB2312" w:cs="仿宋_GB2312"/>
          <w:color w:val="auto"/>
          <w:sz w:val="32"/>
          <w:szCs w:val="32"/>
          <w:shd w:val="clear" w:color="auto" w:fill="FFFFFF"/>
          <w:lang w:val="en-US" w:eastAsia="zh-CN"/>
        </w:rPr>
        <w:t>二</w:t>
      </w:r>
      <w:r>
        <w:rPr>
          <w:rFonts w:hint="eastAsia" w:ascii="仿宋_GB2312" w:hAnsi="仿宋_GB2312" w:eastAsia="仿宋_GB2312" w:cs="仿宋_GB2312"/>
          <w:color w:val="auto"/>
          <w:sz w:val="32"/>
          <w:szCs w:val="32"/>
          <w:shd w:val="clear" w:color="auto" w:fill="FFFFFF"/>
        </w:rPr>
        <w:t>）公务用车购置及运行维护费支出</w:t>
      </w:r>
      <w:r>
        <w:rPr>
          <w:rFonts w:hint="eastAsia" w:ascii="仿宋_GB2312" w:hAnsi="仿宋_GB2312" w:eastAsia="仿宋_GB2312" w:cs="仿宋_GB2312"/>
          <w:color w:val="auto"/>
          <w:sz w:val="32"/>
          <w:szCs w:val="32"/>
          <w:shd w:val="clear" w:color="auto" w:fill="FFFFFF"/>
          <w:lang w:val="en-US" w:eastAsia="zh-CN"/>
        </w:rPr>
        <w:t>4</w:t>
      </w:r>
      <w:r>
        <w:rPr>
          <w:rFonts w:hint="eastAsia" w:ascii="仿宋_GB2312" w:hAnsi="仿宋_GB2312" w:eastAsia="仿宋_GB2312" w:cs="仿宋_GB2312"/>
          <w:color w:val="auto"/>
          <w:sz w:val="32"/>
          <w:szCs w:val="32"/>
          <w:shd w:val="clear" w:color="auto" w:fill="FFFFFF"/>
        </w:rPr>
        <w:t>万元，其中公务用车购置年初预算数为0万元，较201</w:t>
      </w:r>
      <w:r>
        <w:rPr>
          <w:rFonts w:hint="eastAsia" w:ascii="仿宋_GB2312" w:hAnsi="仿宋_GB2312" w:eastAsia="仿宋_GB2312" w:cs="仿宋_GB2312"/>
          <w:color w:val="auto"/>
          <w:sz w:val="32"/>
          <w:szCs w:val="32"/>
          <w:shd w:val="clear" w:color="auto" w:fill="FFFFFF"/>
          <w:lang w:val="en-US" w:eastAsia="zh-CN"/>
        </w:rPr>
        <w:t>8</w:t>
      </w:r>
      <w:r>
        <w:rPr>
          <w:rFonts w:hint="eastAsia" w:ascii="仿宋_GB2312" w:hAnsi="仿宋_GB2312" w:eastAsia="仿宋_GB2312" w:cs="仿宋_GB2312"/>
          <w:color w:val="auto"/>
          <w:sz w:val="32"/>
          <w:szCs w:val="32"/>
          <w:shd w:val="clear" w:color="auto" w:fill="FFFFFF"/>
        </w:rPr>
        <w:t>年增加（减少）0万元，增长（下降）0%；公务用车运行维护费支出年初预算数为</w:t>
      </w:r>
      <w:r>
        <w:rPr>
          <w:rFonts w:hint="eastAsia" w:ascii="仿宋_GB2312" w:hAnsi="仿宋_GB2312" w:eastAsia="仿宋_GB2312" w:cs="仿宋_GB2312"/>
          <w:color w:val="auto"/>
          <w:sz w:val="32"/>
          <w:szCs w:val="32"/>
          <w:shd w:val="clear" w:color="auto" w:fill="FFFFFF"/>
          <w:lang w:val="en-US" w:eastAsia="zh-CN"/>
        </w:rPr>
        <w:t>4</w:t>
      </w:r>
      <w:r>
        <w:rPr>
          <w:rFonts w:hint="eastAsia" w:ascii="仿宋_GB2312" w:hAnsi="仿宋_GB2312" w:eastAsia="仿宋_GB2312" w:cs="仿宋_GB2312"/>
          <w:color w:val="auto"/>
          <w:sz w:val="32"/>
          <w:szCs w:val="32"/>
          <w:shd w:val="clear" w:color="auto" w:fill="FFFFFF"/>
        </w:rPr>
        <w:t>万元，较201</w:t>
      </w:r>
      <w:r>
        <w:rPr>
          <w:rFonts w:hint="eastAsia" w:ascii="仿宋_GB2312" w:hAnsi="仿宋_GB2312" w:eastAsia="仿宋_GB2312" w:cs="仿宋_GB2312"/>
          <w:color w:val="auto"/>
          <w:sz w:val="32"/>
          <w:szCs w:val="32"/>
          <w:shd w:val="clear" w:color="auto" w:fill="FFFFFF"/>
          <w:lang w:val="en-US" w:eastAsia="zh-CN"/>
        </w:rPr>
        <w:t>9</w:t>
      </w:r>
      <w:r>
        <w:rPr>
          <w:rFonts w:hint="eastAsia" w:ascii="仿宋_GB2312" w:hAnsi="仿宋_GB2312" w:eastAsia="仿宋_GB2312" w:cs="仿宋_GB2312"/>
          <w:color w:val="auto"/>
          <w:sz w:val="32"/>
          <w:szCs w:val="32"/>
          <w:shd w:val="clear" w:color="auto" w:fill="FFFFFF"/>
        </w:rPr>
        <w:t>年</w:t>
      </w:r>
      <w:r>
        <w:rPr>
          <w:rFonts w:hint="eastAsia" w:ascii="仿宋_GB2312" w:hAnsi="仿宋_GB2312" w:eastAsia="仿宋_GB2312" w:cs="仿宋_GB2312"/>
          <w:color w:val="auto"/>
          <w:sz w:val="32"/>
          <w:szCs w:val="32"/>
          <w:shd w:val="clear" w:color="auto" w:fill="FFFFFF"/>
          <w:lang w:val="en-US" w:eastAsia="zh-CN"/>
        </w:rPr>
        <w:t>无</w:t>
      </w:r>
      <w:r>
        <w:rPr>
          <w:rFonts w:hint="eastAsia" w:ascii="仿宋_GB2312" w:hAnsi="仿宋_GB2312" w:eastAsia="仿宋_GB2312" w:cs="仿宋_GB2312"/>
          <w:color w:val="auto"/>
          <w:sz w:val="32"/>
          <w:szCs w:val="32"/>
          <w:shd w:val="clear" w:color="auto" w:fill="FFFFFF"/>
        </w:rPr>
        <w:t>增加（减少）0万元，</w:t>
      </w:r>
      <w:r>
        <w:rPr>
          <w:rFonts w:hint="eastAsia" w:ascii="仿宋_GB2312" w:hAnsi="仿宋_GB2312" w:eastAsia="仿宋_GB2312" w:cs="仿宋_GB2312"/>
          <w:color w:val="auto"/>
          <w:sz w:val="32"/>
          <w:szCs w:val="32"/>
          <w:shd w:val="clear" w:color="auto" w:fill="FFFFFF"/>
          <w:lang w:val="en-US" w:eastAsia="zh-CN"/>
        </w:rPr>
        <w:t>无</w:t>
      </w:r>
      <w:r>
        <w:rPr>
          <w:rFonts w:hint="eastAsia" w:ascii="仿宋_GB2312" w:hAnsi="仿宋_GB2312" w:eastAsia="仿宋_GB2312" w:cs="仿宋_GB2312"/>
          <w:color w:val="auto"/>
          <w:sz w:val="32"/>
          <w:szCs w:val="32"/>
          <w:shd w:val="clear" w:color="auto" w:fill="FFFFFF"/>
        </w:rPr>
        <w:t>增长（下降）0%。</w:t>
      </w:r>
      <w:r>
        <w:rPr>
          <w:rFonts w:hint="eastAsia" w:ascii="仿宋_GB2312" w:hAnsi="仿宋_GB2312" w:eastAsia="仿宋_GB2312" w:cs="仿宋_GB2312"/>
          <w:color w:val="auto"/>
          <w:sz w:val="32"/>
          <w:szCs w:val="32"/>
          <w:shd w:val="clear" w:color="auto" w:fill="FFFFFF"/>
          <w:lang w:eastAsia="zh-CN"/>
        </w:rPr>
        <w:t>本年度公务用车购置数</w:t>
      </w:r>
      <w:r>
        <w:rPr>
          <w:rFonts w:hint="eastAsia" w:ascii="仿宋_GB2312" w:hAnsi="仿宋_GB2312" w:eastAsia="仿宋_GB2312" w:cs="仿宋_GB2312"/>
          <w:color w:val="auto"/>
          <w:sz w:val="32"/>
          <w:szCs w:val="32"/>
          <w:shd w:val="clear" w:color="auto" w:fill="FFFFFF"/>
          <w:lang w:val="en-US" w:eastAsia="zh-CN"/>
        </w:rPr>
        <w:t>0辆，公务用车保有量0辆。</w:t>
      </w:r>
    </w:p>
    <w:p>
      <w:pPr>
        <w:ind w:firstLine="640" w:firstLineChars="200"/>
        <w:rPr>
          <w:rFonts w:hint="eastAsia" w:ascii="楷体" w:hAnsi="楷体" w:eastAsia="楷体" w:cs="楷体"/>
          <w:sz w:val="32"/>
          <w:szCs w:val="32"/>
        </w:rPr>
      </w:pPr>
      <w:r>
        <w:rPr>
          <w:rFonts w:hint="eastAsia" w:ascii="楷体" w:hAnsi="楷体" w:eastAsia="楷体" w:cs="楷体"/>
          <w:sz w:val="32"/>
          <w:szCs w:val="32"/>
        </w:rPr>
        <w:t>十、政府性基金预算支出预算情况说明</w:t>
      </w:r>
    </w:p>
    <w:p>
      <w:pPr>
        <w:ind w:firstLine="640" w:firstLineChars="200"/>
        <w:rPr>
          <w:rFonts w:hint="default" w:ascii="仿宋_GB2312" w:hAnsi="仿宋_GB2312" w:eastAsia="仿宋_GB2312" w:cs="仿宋_GB2312"/>
          <w:color w:val="auto"/>
          <w:kern w:val="0"/>
          <w:sz w:val="32"/>
          <w:szCs w:val="32"/>
          <w:shd w:val="clear" w:color="auto" w:fill="FFFFFF"/>
          <w:lang w:val="en-US" w:eastAsia="zh-CN" w:bidi="ar-SA"/>
        </w:rPr>
      </w:pPr>
      <w:r>
        <w:rPr>
          <w:rFonts w:hint="eastAsia" w:ascii="仿宋_GB2312" w:hAnsi="仿宋_GB2312" w:eastAsia="仿宋_GB2312" w:cs="仿宋_GB2312"/>
          <w:color w:val="auto"/>
          <w:kern w:val="0"/>
          <w:sz w:val="32"/>
          <w:szCs w:val="32"/>
          <w:shd w:val="clear" w:color="auto" w:fill="FFFFFF"/>
          <w:lang w:val="en-US" w:eastAsia="zh-CN" w:bidi="ar-SA"/>
        </w:rPr>
        <w:t>本单位本年度无此项预算，固无此项说明情况。</w:t>
      </w:r>
    </w:p>
    <w:p>
      <w:pPr>
        <w:ind w:firstLine="640" w:firstLineChars="200"/>
        <w:rPr>
          <w:rFonts w:hint="eastAsia" w:ascii="仿宋_GB2312" w:hAnsi="仿宋_GB2312" w:eastAsia="仿宋_GB2312" w:cs="仿宋_GB2312"/>
          <w:color w:val="auto"/>
          <w:kern w:val="0"/>
          <w:sz w:val="32"/>
          <w:szCs w:val="32"/>
          <w:shd w:val="clear" w:color="auto" w:fill="FFFFFF"/>
          <w:lang w:val="en-US" w:eastAsia="zh-CN" w:bidi="ar-SA"/>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5E42E29"/>
    <w:rsid w:val="061E09E3"/>
    <w:rsid w:val="06A43BA7"/>
    <w:rsid w:val="087A6196"/>
    <w:rsid w:val="09BB7345"/>
    <w:rsid w:val="0C5A5250"/>
    <w:rsid w:val="0C64513E"/>
    <w:rsid w:val="0DE649EC"/>
    <w:rsid w:val="0EE25EB1"/>
    <w:rsid w:val="10CB3E8D"/>
    <w:rsid w:val="11F35FF2"/>
    <w:rsid w:val="179A58B8"/>
    <w:rsid w:val="1B4A6025"/>
    <w:rsid w:val="1D64502F"/>
    <w:rsid w:val="1DF453AF"/>
    <w:rsid w:val="1E107510"/>
    <w:rsid w:val="1E643EFE"/>
    <w:rsid w:val="209E0EC3"/>
    <w:rsid w:val="22140CC1"/>
    <w:rsid w:val="24D63713"/>
    <w:rsid w:val="2A937DAC"/>
    <w:rsid w:val="2DB60033"/>
    <w:rsid w:val="2F754CA8"/>
    <w:rsid w:val="2FB928F6"/>
    <w:rsid w:val="30662743"/>
    <w:rsid w:val="341824CB"/>
    <w:rsid w:val="343F3937"/>
    <w:rsid w:val="34D53928"/>
    <w:rsid w:val="36870474"/>
    <w:rsid w:val="37015ED3"/>
    <w:rsid w:val="38E832CD"/>
    <w:rsid w:val="39E01B38"/>
    <w:rsid w:val="3F5C42DA"/>
    <w:rsid w:val="43E475B8"/>
    <w:rsid w:val="458B37F5"/>
    <w:rsid w:val="467D2DBE"/>
    <w:rsid w:val="48832669"/>
    <w:rsid w:val="48E87EB6"/>
    <w:rsid w:val="4A4F3891"/>
    <w:rsid w:val="4AFA4BB2"/>
    <w:rsid w:val="4D9B3CEE"/>
    <w:rsid w:val="4EBA5260"/>
    <w:rsid w:val="522F50B0"/>
    <w:rsid w:val="52567629"/>
    <w:rsid w:val="582B68F4"/>
    <w:rsid w:val="5D083F24"/>
    <w:rsid w:val="5D306324"/>
    <w:rsid w:val="5E0B45F3"/>
    <w:rsid w:val="60860A87"/>
    <w:rsid w:val="60B46440"/>
    <w:rsid w:val="618D0114"/>
    <w:rsid w:val="61C6166E"/>
    <w:rsid w:val="635C762A"/>
    <w:rsid w:val="63871021"/>
    <w:rsid w:val="65337D33"/>
    <w:rsid w:val="6FD93AE0"/>
    <w:rsid w:val="71715484"/>
    <w:rsid w:val="71FC58C7"/>
    <w:rsid w:val="7249546B"/>
    <w:rsid w:val="729F0AAD"/>
    <w:rsid w:val="75F45C0F"/>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2</TotalTime>
  <ScaleCrop>false</ScaleCrop>
  <LinksUpToDate>false</LinksUpToDate>
  <CharactersWithSpaces>3878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福</cp:lastModifiedBy>
  <cp:lastPrinted>2019-09-11T06:01:00Z</cp:lastPrinted>
  <dcterms:modified xsi:type="dcterms:W3CDTF">2021-06-03T07:39:57Z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71AC11FD87474255B0892D67E64A82F8</vt:lpwstr>
  </property>
</Properties>
</file>