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人力资源和社会保障局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w:t>
      </w:r>
      <w:r>
        <w:rPr>
          <w:rFonts w:hint="eastAsia" w:ascii="黑体" w:hAnsi="黑体" w:eastAsia="黑体" w:cstheme="minorEastAsia"/>
          <w:sz w:val="44"/>
          <w:szCs w:val="44"/>
          <w:lang w:eastAsia="zh-CN"/>
        </w:rPr>
        <w:t>部门预算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仿宋_GB2312" w:hAnsi="仿宋_GB2312" w:eastAsia="仿宋_GB2312" w:cs="仿宋_GB2312"/>
          <w:sz w:val="32"/>
          <w:szCs w:val="32"/>
        </w:rPr>
      </w:pPr>
      <w:r>
        <w:rPr>
          <w:rFonts w:hint="eastAsia" w:ascii="楷体" w:hAnsi="楷体" w:eastAsia="楷体" w:cstheme="minorEastAsia"/>
          <w:b/>
          <w:bCs w:val="0"/>
          <w:sz w:val="32"/>
          <w:szCs w:val="32"/>
        </w:rPr>
        <w:t>一、</w:t>
      </w:r>
      <w:r>
        <w:rPr>
          <w:rFonts w:hint="eastAsia" w:ascii="仿宋_GB2312" w:hAnsi="仿宋_GB2312" w:eastAsia="仿宋_GB2312" w:cs="仿宋_GB2312"/>
          <w:sz w:val="32"/>
          <w:szCs w:val="32"/>
        </w:rPr>
        <w:t>县人力资源和社会保障局的主要职能是：</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(一)贯彻执行国家、省、市人力资源和社会保障事业发展规划和政策法规，拟定全县人力资源和社会保障事业发展规划和政策，并组织实施。</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(二)拟定并组织实施全县人力资源市场发展规划和人力资源流动政策，指导全县人力资源市场建设，建立统一规范的人力资源市场，促进人力资源合理流动、有效配置。</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负责全县促进就业工作，拟定统筹城乡的就业发展规划和政策，完善公共就业服务体系，拟订并组织落实就业援助制度，完善职业资格制度及相关政策，统筹建立面向城乡劳动者的职业培训制度，牵头拟定高校毕业生就业政策，会同有关部门拟定高技能人才、农村实用人才培养和激励政策。</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(四)统筹建立覆盖城乡的社会保障体系，拟定并组织实施</w:t>
      </w:r>
      <w:r>
        <w:rPr>
          <w:rFonts w:hint="eastAsia" w:ascii="仿宋_GB2312" w:hAnsi="仿宋_GB2312" w:eastAsia="仿宋_GB2312" w:cs="仿宋_GB2312"/>
          <w:sz w:val="32"/>
          <w:szCs w:val="32"/>
          <w:lang w:eastAsia="zh-CN"/>
        </w:rPr>
        <w:t>养老、失业、工伤等</w:t>
      </w:r>
      <w:r>
        <w:rPr>
          <w:rFonts w:hint="eastAsia" w:ascii="仿宋_GB2312" w:hAnsi="仿宋_GB2312" w:eastAsia="仿宋_GB2312" w:cs="仿宋_GB2312"/>
          <w:sz w:val="32"/>
          <w:szCs w:val="32"/>
        </w:rPr>
        <w:t>社会保险及补充保险政策和标准，组织拟定全县统一的</w:t>
      </w:r>
      <w:r>
        <w:rPr>
          <w:rFonts w:hint="eastAsia" w:ascii="仿宋_GB2312" w:hAnsi="仿宋_GB2312" w:eastAsia="仿宋_GB2312" w:cs="仿宋_GB2312"/>
          <w:sz w:val="32"/>
          <w:szCs w:val="32"/>
          <w:lang w:eastAsia="zh-CN"/>
        </w:rPr>
        <w:t>养老、失业、工伤等</w:t>
      </w:r>
      <w:r>
        <w:rPr>
          <w:rFonts w:hint="eastAsia" w:ascii="仿宋_GB2312" w:hAnsi="仿宋_GB2312" w:eastAsia="仿宋_GB2312" w:cs="仿宋_GB2312"/>
          <w:sz w:val="32"/>
          <w:szCs w:val="32"/>
        </w:rPr>
        <w:t>社会保险关系转移接续办法，统筹拟定机关企事业单位基本养老保险政策并逐步提高基金统筹层次，会同有关部门拟定</w:t>
      </w:r>
      <w:r>
        <w:rPr>
          <w:rFonts w:hint="eastAsia" w:ascii="仿宋_GB2312" w:hAnsi="仿宋_GB2312" w:eastAsia="仿宋_GB2312" w:cs="仿宋_GB2312"/>
          <w:sz w:val="32"/>
          <w:szCs w:val="32"/>
          <w:lang w:eastAsia="zh-CN"/>
        </w:rPr>
        <w:t>养老、失业、工伤等</w:t>
      </w:r>
      <w:r>
        <w:rPr>
          <w:rFonts w:hint="eastAsia" w:ascii="仿宋_GB2312" w:hAnsi="仿宋_GB2312" w:eastAsia="仿宋_GB2312" w:cs="仿宋_GB2312"/>
          <w:sz w:val="32"/>
          <w:szCs w:val="32"/>
        </w:rPr>
        <w:t>社会保险及其补充保险基金管理和监督办法并组织实施，编制全县</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 xml:space="preserve">社会保险基金预决算草案。   </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(五)负责全县就业、失业</w:t>
      </w:r>
      <w:r>
        <w:rPr>
          <w:rFonts w:hint="eastAsia" w:ascii="仿宋_GB2312" w:hAnsi="仿宋_GB2312" w:eastAsia="仿宋_GB2312" w:cs="仿宋_GB2312"/>
          <w:sz w:val="32"/>
          <w:szCs w:val="32"/>
          <w:lang w:eastAsia="zh-CN"/>
        </w:rPr>
        <w:t>和相关</w:t>
      </w:r>
      <w:r>
        <w:rPr>
          <w:rFonts w:hint="eastAsia" w:ascii="仿宋_GB2312" w:hAnsi="仿宋_GB2312" w:eastAsia="仿宋_GB2312" w:cs="仿宋_GB2312"/>
          <w:sz w:val="32"/>
          <w:szCs w:val="32"/>
        </w:rPr>
        <w:t>社会保险基金预测预警和信息引导，拟定应对预案，实施预防、调节和控制，做好全县就业工作，保持就业形势稳定和社会保险基金总体收支平衡。</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统筹全县企事业单位人员管理工作，会同有关部门拟定我县事业单位人员工资收入分配制度改革实施意见，建立企事业单位人员工资正常增长和支付保障机制，拟定企事业单位人员福利和离退休政策，指导和监督国有企业工资总额管理和企业负责人工资收入分配。</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(七)会同有关部门指导全县事业单位人事制度改革工作，拟定事业单位人员</w:t>
      </w:r>
      <w:r>
        <w:rPr>
          <w:rFonts w:hint="eastAsia" w:ascii="仿宋_GB2312" w:eastAsia="仿宋_GB2312"/>
          <w:sz w:val="32"/>
          <w:szCs w:val="32"/>
        </w:rPr>
        <w:t>和机关工勤人员</w:t>
      </w:r>
      <w:r>
        <w:rPr>
          <w:rFonts w:hint="eastAsia" w:ascii="仿宋_GB2312" w:hAnsi="仿宋_GB2312" w:eastAsia="仿宋_GB2312" w:cs="仿宋_GB2312"/>
          <w:sz w:val="32"/>
          <w:szCs w:val="32"/>
        </w:rPr>
        <w:t>管理办法，参与人才管理工作，拟定专业技术人员管理和继续教育政策，牵头推进深化职称制度改革工作，负责高层次专业技术人才选拔和培养工作。</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rPr>
        <w:t>)会同有关部门拟定农民工工作政策和规划，推动农民工相关政策的落实，协调解决重点难点问题，维护农民工合法权益。</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rPr>
        <w:t>)统筹拟定劳动人事争议调解仲裁制度和劳动关系政策，完善劳动关系协调机制，监督落实消除非法使用童工政策和女工、未成年工的特殊劳动保护政策，组织实施劳动监察，协调劳动者维权工作，依法查处重大案件，受理劳动人事信访事项，会同有关部门协调处理有关重大信访事件和突出事件。</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（十）按照干部管理权限，承办</w:t>
      </w:r>
      <w:r>
        <w:rPr>
          <w:rFonts w:hint="eastAsia" w:ascii="仿宋_GB2312" w:eastAsia="仿宋_GB2312"/>
          <w:sz w:val="32"/>
          <w:szCs w:val="32"/>
          <w:lang w:eastAsia="zh-CN"/>
        </w:rPr>
        <w:t>县</w:t>
      </w:r>
      <w:r>
        <w:rPr>
          <w:rFonts w:hint="eastAsia" w:ascii="仿宋_GB2312" w:eastAsia="仿宋_GB2312"/>
          <w:sz w:val="32"/>
          <w:szCs w:val="32"/>
        </w:rPr>
        <w:t>人大常委会和</w:t>
      </w:r>
      <w:r>
        <w:rPr>
          <w:rFonts w:hint="eastAsia" w:ascii="仿宋_GB2312" w:eastAsia="仿宋_GB2312"/>
          <w:sz w:val="32"/>
          <w:szCs w:val="32"/>
          <w:lang w:eastAsia="zh-CN"/>
        </w:rPr>
        <w:t>县</w:t>
      </w:r>
      <w:r>
        <w:rPr>
          <w:rFonts w:hint="eastAsia" w:ascii="仿宋_GB2312" w:eastAsia="仿宋_GB2312"/>
          <w:sz w:val="32"/>
          <w:szCs w:val="32"/>
        </w:rPr>
        <w:t>人民政府的人事任免事项。会同有关部门组织实施国家荣誉制度，拟定并组织实施政府奖励制度。</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eastAsia="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w:t>
      </w:r>
      <w:r>
        <w:rPr>
          <w:rFonts w:eastAsia="仿宋_GB2312"/>
          <w:sz w:val="32"/>
          <w:szCs w:val="32"/>
        </w:rPr>
        <w:t>承办县人民政府交办的其他</w:t>
      </w:r>
      <w:r>
        <w:rPr>
          <w:rFonts w:hint="eastAsia" w:eastAsia="仿宋_GB2312"/>
          <w:sz w:val="32"/>
          <w:szCs w:val="32"/>
        </w:rPr>
        <w:t>工作</w:t>
      </w:r>
      <w:r>
        <w:rPr>
          <w:rFonts w:eastAsia="仿宋_GB2312"/>
          <w:sz w:val="32"/>
          <w:szCs w:val="32"/>
        </w:rPr>
        <w:t>事项。</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（十二）有关职责分工。</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eastAsia="仿宋_GB2312"/>
          <w:sz w:val="32"/>
          <w:szCs w:val="32"/>
        </w:rPr>
      </w:pPr>
      <w:r>
        <w:rPr>
          <w:rFonts w:hint="eastAsia" w:ascii="仿宋_GB2312" w:eastAsia="仿宋_GB2312"/>
          <w:sz w:val="32"/>
          <w:szCs w:val="32"/>
        </w:rPr>
        <w:t>与</w:t>
      </w:r>
      <w:r>
        <w:rPr>
          <w:rFonts w:hint="eastAsia" w:ascii="仿宋_GB2312" w:eastAsia="仿宋_GB2312"/>
          <w:sz w:val="32"/>
          <w:szCs w:val="32"/>
          <w:lang w:eastAsia="zh-CN"/>
        </w:rPr>
        <w:t>县</w:t>
      </w:r>
      <w:r>
        <w:rPr>
          <w:rFonts w:hint="eastAsia" w:ascii="仿宋_GB2312" w:eastAsia="仿宋_GB2312"/>
          <w:sz w:val="32"/>
          <w:szCs w:val="32"/>
        </w:rPr>
        <w:t>教育局等部门关于高校毕业生就业管理的职责分工。毕业生就业政策由</w:t>
      </w:r>
      <w:r>
        <w:rPr>
          <w:rFonts w:hint="eastAsia" w:ascii="仿宋_GB2312" w:eastAsia="仿宋_GB2312"/>
          <w:sz w:val="32"/>
          <w:szCs w:val="32"/>
          <w:lang w:eastAsia="zh-CN"/>
        </w:rPr>
        <w:t>县</w:t>
      </w:r>
      <w:r>
        <w:rPr>
          <w:rFonts w:hint="eastAsia" w:ascii="仿宋_GB2312" w:eastAsia="仿宋_GB2312"/>
          <w:sz w:val="32"/>
          <w:szCs w:val="32"/>
        </w:rPr>
        <w:t>人力资源和社会保障局牵头，会同</w:t>
      </w:r>
      <w:r>
        <w:rPr>
          <w:rFonts w:hint="eastAsia" w:ascii="仿宋_GB2312" w:eastAsia="仿宋_GB2312"/>
          <w:sz w:val="32"/>
          <w:szCs w:val="32"/>
          <w:lang w:eastAsia="zh-CN"/>
        </w:rPr>
        <w:t>县</w:t>
      </w:r>
      <w:r>
        <w:rPr>
          <w:rFonts w:hint="eastAsia" w:ascii="仿宋_GB2312" w:eastAsia="仿宋_GB2312"/>
          <w:sz w:val="32"/>
          <w:szCs w:val="32"/>
        </w:rPr>
        <w:t>教育局等部门拟定；毕业生离校前的就业指导和服务工作，由</w:t>
      </w:r>
      <w:r>
        <w:rPr>
          <w:rFonts w:hint="eastAsia" w:ascii="仿宋_GB2312" w:eastAsia="仿宋_GB2312"/>
          <w:sz w:val="32"/>
          <w:szCs w:val="32"/>
          <w:lang w:eastAsia="zh-CN"/>
        </w:rPr>
        <w:t>县</w:t>
      </w:r>
      <w:r>
        <w:rPr>
          <w:rFonts w:hint="eastAsia" w:ascii="仿宋_GB2312" w:eastAsia="仿宋_GB2312"/>
          <w:sz w:val="32"/>
          <w:szCs w:val="32"/>
        </w:rPr>
        <w:t>教育局负责；毕业生离校后的就业指导和服务工作，由</w:t>
      </w:r>
      <w:r>
        <w:rPr>
          <w:rFonts w:hint="eastAsia" w:ascii="仿宋_GB2312" w:eastAsia="仿宋_GB2312"/>
          <w:sz w:val="32"/>
          <w:szCs w:val="32"/>
          <w:lang w:eastAsia="zh-CN"/>
        </w:rPr>
        <w:t>县</w:t>
      </w:r>
      <w:r>
        <w:rPr>
          <w:rFonts w:hint="eastAsia" w:ascii="仿宋_GB2312" w:eastAsia="仿宋_GB2312"/>
          <w:sz w:val="32"/>
          <w:szCs w:val="32"/>
        </w:rPr>
        <w:t>人力资源和社会保障局负责。</w:t>
      </w:r>
    </w:p>
    <w:p>
      <w:pPr>
        <w:keepNext w:val="0"/>
        <w:keepLines w:val="0"/>
        <w:pageBreakBefore w:val="0"/>
        <w:widowControl w:val="0"/>
        <w:tabs>
          <w:tab w:val="left" w:pos="705"/>
        </w:tabs>
        <w:kinsoku/>
        <w:wordWrap/>
        <w:overflowPunct/>
        <w:topLinePunct w:val="0"/>
        <w:autoSpaceDE/>
        <w:autoSpaceDN/>
        <w:bidi w:val="0"/>
        <w:spacing w:line="560" w:lineRule="exact"/>
        <w:textAlignment w:val="auto"/>
        <w:rPr>
          <w:sz w:val="44"/>
          <w:szCs w:val="44"/>
        </w:rPr>
      </w:pPr>
      <w:r>
        <w:rPr>
          <w:sz w:val="44"/>
          <w:szCs w:val="44"/>
        </w:rPr>
        <w:tab/>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襄垣县人力资源和社会保障局于2010年1月8日由原人事局与劳动和社会保障局合并组建。内设股室</w:t>
      </w:r>
      <w:r>
        <w:rPr>
          <w:rFonts w:hint="eastAsia" w:ascii="仿宋_GB2312" w:hAnsi="宋体" w:eastAsia="仿宋_GB2312" w:cs="仿宋_GB2312"/>
          <w:sz w:val="32"/>
          <w:szCs w:val="32"/>
          <w:lang w:val="en-US" w:eastAsia="zh-CN"/>
        </w:rPr>
        <w:t>9</w:t>
      </w:r>
      <w:r>
        <w:rPr>
          <w:rFonts w:hint="eastAsia" w:ascii="仿宋_GB2312" w:hAnsi="宋体" w:eastAsia="仿宋_GB2312" w:cs="仿宋_GB2312"/>
          <w:sz w:val="32"/>
          <w:szCs w:val="32"/>
        </w:rPr>
        <w:t>个：办公室</w:t>
      </w:r>
      <w:r>
        <w:rPr>
          <w:rFonts w:hint="eastAsia" w:ascii="仿宋_GB2312" w:hAnsi="宋体" w:eastAsia="仿宋_GB2312"/>
          <w:sz w:val="32"/>
          <w:szCs w:val="32"/>
        </w:rPr>
        <w:t>、</w:t>
      </w:r>
      <w:r>
        <w:rPr>
          <w:rFonts w:hint="eastAsia" w:ascii="仿宋_GB2312" w:hAnsi="宋体" w:eastAsia="仿宋_GB2312"/>
          <w:sz w:val="32"/>
          <w:szCs w:val="32"/>
          <w:lang w:eastAsia="zh-CN"/>
        </w:rPr>
        <w:t>党办、档案室、</w:t>
      </w:r>
      <w:r>
        <w:rPr>
          <w:rFonts w:hint="eastAsia" w:ascii="仿宋_GB2312" w:hAnsi="宋体" w:eastAsia="仿宋_GB2312" w:cs="仿宋_GB2312"/>
          <w:sz w:val="32"/>
          <w:szCs w:val="32"/>
        </w:rPr>
        <w:t>人事规划股、工资福利股、事业单位管理股、财务股、基金监督股</w:t>
      </w:r>
      <w:r>
        <w:rPr>
          <w:rFonts w:hint="eastAsia" w:ascii="仿宋_GB2312" w:hAnsi="宋体" w:eastAsia="仿宋_GB2312" w:cs="仿宋_GB2312"/>
          <w:sz w:val="32"/>
          <w:szCs w:val="32"/>
          <w:lang w:eastAsia="zh-CN"/>
        </w:rPr>
        <w:t>、工伤保险股</w:t>
      </w:r>
      <w:r>
        <w:rPr>
          <w:rFonts w:hint="eastAsia" w:ascii="仿宋_GB2312" w:hAnsi="宋体" w:eastAsia="仿宋_GB2312" w:cs="仿宋_GB2312"/>
          <w:sz w:val="32"/>
          <w:szCs w:val="32"/>
        </w:rPr>
        <w:t>；直属科级事业单位</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个：人才就业信息市场、社会劳动保险事业所</w:t>
      </w:r>
      <w:r>
        <w:rPr>
          <w:rFonts w:hint="eastAsia" w:ascii="仿宋_GB2312" w:hAnsi="宋体" w:eastAsia="仿宋_GB2312"/>
          <w:sz w:val="32"/>
          <w:szCs w:val="32"/>
        </w:rPr>
        <w:t>；</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个事业单位：劳动保障监察</w:t>
      </w:r>
      <w:r>
        <w:rPr>
          <w:rFonts w:hint="eastAsia" w:ascii="仿宋_GB2312" w:hAnsi="宋体" w:eastAsia="仿宋_GB2312" w:cs="仿宋_GB2312"/>
          <w:sz w:val="32"/>
          <w:szCs w:val="32"/>
          <w:lang w:eastAsia="zh-CN"/>
        </w:rPr>
        <w:t>综合行政执法队</w:t>
      </w:r>
      <w:r>
        <w:rPr>
          <w:rFonts w:hint="eastAsia" w:ascii="仿宋_GB2312" w:hAnsi="宋体" w:eastAsia="仿宋_GB2312" w:cs="仿宋_GB2312"/>
          <w:sz w:val="32"/>
          <w:szCs w:val="32"/>
        </w:rPr>
        <w:t>、机关事业单位养老保险所</w:t>
      </w:r>
      <w:r>
        <w:rPr>
          <w:rFonts w:hint="eastAsia" w:ascii="仿宋_GB2312" w:hAnsi="宋体" w:eastAsia="仿宋_GB2312"/>
          <w:sz w:val="32"/>
          <w:szCs w:val="32"/>
        </w:rPr>
        <w:t>、</w:t>
      </w:r>
      <w:r>
        <w:rPr>
          <w:rFonts w:hint="eastAsia" w:ascii="仿宋_GB2312" w:hAnsi="宋体" w:eastAsia="仿宋_GB2312" w:cs="仿宋_GB2312"/>
          <w:sz w:val="32"/>
          <w:szCs w:val="32"/>
        </w:rPr>
        <w:t>工伤保险服务中心</w:t>
      </w:r>
      <w:r>
        <w:rPr>
          <w:rFonts w:hint="eastAsia" w:ascii="仿宋_GB2312" w:hAnsi="宋体" w:eastAsia="仿宋_GB2312"/>
          <w:sz w:val="32"/>
          <w:szCs w:val="32"/>
        </w:rPr>
        <w:t>、</w:t>
      </w:r>
      <w:r>
        <w:rPr>
          <w:rFonts w:hint="eastAsia" w:ascii="仿宋_GB2312" w:hAnsi="宋体" w:eastAsia="仿宋_GB2312" w:cs="仿宋_GB2312"/>
          <w:sz w:val="32"/>
          <w:szCs w:val="32"/>
        </w:rPr>
        <w:t>失业保险所</w:t>
      </w:r>
      <w:r>
        <w:rPr>
          <w:rFonts w:hint="eastAsia" w:ascii="仿宋_GB2312" w:hAnsi="宋体" w:eastAsia="仿宋_GB2312"/>
          <w:sz w:val="32"/>
          <w:szCs w:val="32"/>
        </w:rPr>
        <w:t>、</w:t>
      </w:r>
      <w:r>
        <w:rPr>
          <w:rFonts w:hint="eastAsia" w:ascii="仿宋_GB2312" w:hAnsi="宋体" w:eastAsia="仿宋_GB2312"/>
          <w:sz w:val="32"/>
          <w:szCs w:val="32"/>
          <w:lang w:eastAsia="zh-CN"/>
        </w:rPr>
        <w:t>城乡居民</w:t>
      </w:r>
      <w:r>
        <w:rPr>
          <w:rFonts w:hint="eastAsia" w:ascii="仿宋_GB2312" w:hAnsi="宋体" w:eastAsia="仿宋_GB2312" w:cs="仿宋_GB2312"/>
          <w:sz w:val="32"/>
          <w:szCs w:val="32"/>
        </w:rPr>
        <w:t>养老保险服务中心</w:t>
      </w:r>
      <w:r>
        <w:rPr>
          <w:rFonts w:hint="eastAsia" w:ascii="仿宋_GB2312" w:hAnsi="宋体" w:eastAsia="仿宋_GB2312" w:cs="仿宋_GB2312"/>
          <w:sz w:val="32"/>
          <w:szCs w:val="32"/>
          <w:lang w:eastAsia="zh-CN"/>
        </w:rPr>
        <w:t>、就业培训中心、劳动人事争议仲裁院</w:t>
      </w:r>
      <w:r>
        <w:rPr>
          <w:rFonts w:hint="eastAsia" w:ascii="仿宋_GB2312" w:hAnsi="宋体" w:eastAsia="仿宋_GB2312" w:cs="仿宋_GB2312"/>
          <w:sz w:val="32"/>
          <w:szCs w:val="32"/>
        </w:rPr>
        <w:t>。</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现有行政、事业编制 63名，其中，行政编制 9名，事业编制 54名。实有 60人，其中公务员7 名，行政工勤 0人，事业人员53 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襄垣县人力资源和社会保障局2020年度收入、支出预算总计1115.89万元，与上年相比收、支预算总计各增加326.08万元，增长41.29%。主要原因是工资正常增加。其中：</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（一）收入预算总计1115.89万元。包括：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1．财政拨款收入预算总计1115.89万元。</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（1）一般公共预算收入预算1115.89万元，与上年相比增加326.08万元，增长41.29 %。主要原因是工资正常增长。</w:t>
      </w:r>
    </w:p>
    <w:p>
      <w:pPr>
        <w:ind w:firstLine="645"/>
        <w:rPr>
          <w:rFonts w:hint="default"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（2）政府性基金收入预算0万元，与上年相比增加（减少）0 万元，增长（减少）0  %。</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2．财政专户管理资金收入预算总计 0 万元。与上年相比增加（减少）0万元，增长（减少）0%。</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3．其他资金收入预算总计0万元。与上年相比增加（减少）0万元，增长（减少）0 %。</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4．上年结转资金预算数为0万元。与上年相比增加（减少）0万元，增长（减少）0 %。</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（二）支出预算总计1115.89万元。包括：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1．一般公共服务（类）支出1115.89万元，主要用于工资福利支出、商品和服务支出、对个人和家庭补助支出。与上年相比增加326.08万元，增长41.29 %。主要原因是工资正常增长。</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2．公共安全（类）支出0万元0，与上年相比增加（减少） 0 万元，增长（减少） 0 %。</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3．结转下年资金预算数为0万元。</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t>此外，基本支出预算数为0万元。与上年相比增加（减少）0万元，增长（减少）0%。项目支出预算数为 0 万元。与上年相比增加（减少）  0万元，增长（减少）0 %。</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w:t>
      </w:r>
      <w:r>
        <w:rPr>
          <w:rFonts w:hint="eastAsia" w:ascii="仿宋_GB2312" w:eastAsia="仿宋_GB2312" w:hAnsiTheme="minorEastAsia" w:cstheme="minorEastAsia"/>
          <w:color w:val="5B9BD5" w:themeColor="accent1"/>
          <w:sz w:val="32"/>
          <w:szCs w:val="32"/>
          <w14:textFill>
            <w14:solidFill>
              <w14:schemeClr w14:val="accent1"/>
            </w14:solidFill>
          </w14:textFill>
        </w:rPr>
        <w:t>机关运行经费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38.77万元，较2019年减少30.98万元，减少44.42其中：</w:t>
      </w:r>
      <w:r>
        <w:rPr>
          <w:rFonts w:hint="eastAsia" w:ascii="仿宋_GB2312" w:eastAsia="仿宋_GB2312" w:hAnsiTheme="minorEastAsia" w:cstheme="minorEastAsia"/>
          <w:color w:val="5B9BD5" w:themeColor="accent1"/>
          <w:sz w:val="32"/>
          <w:szCs w:val="32"/>
          <w14:textFill>
            <w14:solidFill>
              <w14:schemeClr w14:val="accent1"/>
            </w14:solidFill>
          </w14:textFill>
        </w:rPr>
        <w:t>办公费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2万元</w:t>
      </w:r>
      <w:r>
        <w:rPr>
          <w:rFonts w:hint="eastAsia" w:ascii="仿宋_GB2312" w:eastAsia="仿宋_GB2312" w:hAnsiTheme="minorEastAsia" w:cstheme="minorEastAsia"/>
          <w:color w:val="5B9BD5" w:themeColor="accent1"/>
          <w:sz w:val="32"/>
          <w:szCs w:val="32"/>
          <w14:textFill>
            <w14:solidFill>
              <w14:schemeClr w14:val="accent1"/>
            </w14:solidFill>
          </w14:textFill>
        </w:rPr>
        <w:t>、印刷费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1.25万元</w:t>
      </w:r>
      <w:r>
        <w:rPr>
          <w:rFonts w:hint="eastAsia" w:ascii="仿宋_GB2312" w:eastAsia="仿宋_GB2312" w:hAnsiTheme="minorEastAsia" w:cstheme="minorEastAsia"/>
          <w:color w:val="5B9BD5" w:themeColor="accent1"/>
          <w:sz w:val="32"/>
          <w:szCs w:val="32"/>
          <w14:textFill>
            <w14:solidFill>
              <w14:schemeClr w14:val="accent1"/>
            </w14:solidFill>
          </w14:textFill>
        </w:rPr>
        <w:t>、差旅费</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1.3万元</w:t>
      </w:r>
      <w:r>
        <w:rPr>
          <w:rFonts w:hint="eastAsia" w:ascii="仿宋_GB2312" w:eastAsia="仿宋_GB2312" w:hAnsiTheme="minorEastAsia" w:cstheme="minorEastAsia"/>
          <w:color w:val="5B9BD5" w:themeColor="accent1"/>
          <w:sz w:val="32"/>
          <w:szCs w:val="32"/>
          <w14:textFill>
            <w14:solidFill>
              <w14:schemeClr w14:val="accent1"/>
            </w14:solidFill>
          </w14:textFill>
        </w:rPr>
        <w:t>等。</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主要增减变化情况：压缩一般性</w:t>
      </w:r>
      <w:bookmarkStart w:id="0" w:name="_GoBack"/>
      <w:bookmarkEnd w:id="0"/>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支出。</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本单位本年度无此项预算，故无此项说明。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w:t>
      </w:r>
      <w:r>
        <w:rPr>
          <w:rFonts w:hint="eastAsia" w:ascii="仿宋_GB2312" w:hAnsi="仿宋_GB2312" w:eastAsia="仿宋_GB2312" w:cs="仿宋_GB2312"/>
          <w:color w:val="auto"/>
          <w:sz w:val="32"/>
          <w:szCs w:val="32"/>
          <w:shd w:val="clear" w:color="auto" w:fill="FFFFFF"/>
          <w:lang w:val="en-US" w:eastAsia="zh-CN"/>
        </w:rPr>
        <w:t>2019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5819.24</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5702.31</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112.23</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4.70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74.41</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13</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37.82</w:t>
      </w:r>
      <w:r>
        <w:rPr>
          <w:rFonts w:hint="eastAsia" w:ascii="仿宋_GB2312" w:hAnsi="仿宋_GB2312" w:eastAsia="仿宋_GB2312" w:cs="仿宋_GB2312"/>
          <w:color w:val="auto"/>
          <w:sz w:val="32"/>
          <w:szCs w:val="32"/>
          <w:shd w:val="clear" w:color="auto" w:fill="FFFFFF"/>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229.78</w:t>
      </w:r>
      <w:r>
        <w:rPr>
          <w:rFonts w:hint="eastAsia" w:ascii="仿宋_GB2312" w:hAnsi="仿宋_GB2312" w:eastAsia="仿宋_GB2312" w:cs="仿宋_GB2312"/>
          <w:color w:val="auto"/>
          <w:sz w:val="32"/>
          <w:szCs w:val="32"/>
          <w:shd w:val="clear" w:color="auto" w:fill="FFFFFF"/>
        </w:rPr>
        <w:t>万元。 </w:t>
      </w:r>
      <w:r>
        <w:rPr>
          <w:rFonts w:hint="eastAsia" w:ascii="仿宋_GB2312" w:hAnsi="仿宋_GB2312" w:eastAsia="仿宋_GB2312" w:cs="仿宋_GB2312"/>
          <w:color w:val="auto"/>
          <w:sz w:val="32"/>
          <w:szCs w:val="32"/>
          <w:shd w:val="clear" w:color="auto" w:fill="FFFFFF"/>
          <w:lang w:val="en-US" w:eastAsia="zh-CN"/>
        </w:rPr>
        <w:t xml:space="preserve">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ind w:firstLine="640" w:firstLineChars="200"/>
        <w:rPr>
          <w:rFonts w:hint="default" w:ascii="楷体" w:hAnsi="楷体" w:eastAsia="楷体" w:cstheme="minorEastAsia"/>
          <w:b w:val="0"/>
          <w:bCs/>
          <w:sz w:val="32"/>
          <w:szCs w:val="32"/>
          <w:lang w:val="en-US" w:eastAsia="zh-CN"/>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本单位本年度无此项预算，故无此项说明。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年度一般公共预算“三公”经费预算数为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10.4</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19</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0.1</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 xml:space="preserve">  0.95</w:t>
      </w:r>
      <w:r>
        <w:rPr>
          <w:rFonts w:hint="eastAsia" w:ascii="仿宋_GB2312" w:eastAsia="仿宋_GB2312" w:hAnsiTheme="minorEastAsia" w:cstheme="minorEastAsia"/>
          <w:color w:val="5B9BD5" w:themeColor="accent1"/>
          <w:sz w:val="32"/>
          <w:szCs w:val="32"/>
          <w14:textFill>
            <w14:solidFill>
              <w14:schemeClr w14:val="accent1"/>
            </w14:solidFill>
          </w14:textFill>
        </w:rPr>
        <w:t>%，其中：</w:t>
      </w:r>
    </w:p>
    <w:p>
      <w:pPr>
        <w:numPr>
          <w:ilvl w:val="0"/>
          <w:numId w:val="1"/>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因公出国（境）支出年初预算数为0万元，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因公出国（境）团组数为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0，人数为0。</w:t>
      </w:r>
      <w:r>
        <w:rPr>
          <w:rFonts w:hint="eastAsia" w:ascii="仿宋_GB2312" w:eastAsia="仿宋_GB2312" w:hAnsiTheme="minorEastAsia" w:cstheme="minorEastAsia"/>
          <w:color w:val="5B9BD5" w:themeColor="accent1"/>
          <w:sz w:val="32"/>
          <w:szCs w:val="32"/>
          <w14:textFill>
            <w14:solidFill>
              <w14:schemeClr w14:val="accent1"/>
            </w14:solidFill>
          </w14:textFill>
        </w:rPr>
        <w:t>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p>
    <w:p>
      <w:pPr>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　　（二）公务接待费支出年初预算数为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0.4</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年减少</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0.1</w:t>
      </w:r>
      <w:r>
        <w:rPr>
          <w:rFonts w:hint="eastAsia" w:ascii="仿宋_GB2312" w:eastAsia="仿宋_GB2312" w:hAnsiTheme="minorEastAsia" w:cstheme="minorEastAsia"/>
          <w:color w:val="5B9BD5" w:themeColor="accent1"/>
          <w:sz w:val="32"/>
          <w:szCs w:val="32"/>
          <w14:textFill>
            <w14:solidFill>
              <w14:schemeClr w14:val="accent1"/>
            </w14:solidFill>
          </w14:textFill>
        </w:rPr>
        <w:t>万元，下降</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%。主要原因是：专项活动减少。</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本年度国内公务接待共</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 xml:space="preserve"> 5批次，共 52人。</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（三）公务用车购置及运行维护费支出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10</w:t>
      </w:r>
      <w:r>
        <w:rPr>
          <w:rFonts w:hint="eastAsia" w:ascii="仿宋_GB2312" w:eastAsia="仿宋_GB2312" w:hAnsiTheme="minorEastAsia" w:cstheme="minorEastAsia"/>
          <w:color w:val="5B9BD5" w:themeColor="accent1"/>
          <w:sz w:val="32"/>
          <w:szCs w:val="32"/>
          <w14:textFill>
            <w14:solidFill>
              <w14:schemeClr w14:val="accent1"/>
            </w14:solidFill>
          </w14:textFill>
        </w:rPr>
        <w:t>万元，其中公务用车购置年初预算数为0万元，较201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年增加（减少）0万元，增长（下降）0%；公务用车运行维护费支出年初预算数为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10</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本年度公务用车购置数</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0辆，公务用车保有量9辆。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53693"/>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71911BE"/>
    <w:rsid w:val="087A6196"/>
    <w:rsid w:val="0C5A5250"/>
    <w:rsid w:val="0C64513E"/>
    <w:rsid w:val="0DE649EC"/>
    <w:rsid w:val="0EE25EB1"/>
    <w:rsid w:val="10CB3E8D"/>
    <w:rsid w:val="11C0277B"/>
    <w:rsid w:val="11F35FF2"/>
    <w:rsid w:val="120449E3"/>
    <w:rsid w:val="179A58B8"/>
    <w:rsid w:val="19F70F51"/>
    <w:rsid w:val="1B4A6025"/>
    <w:rsid w:val="1DF453AF"/>
    <w:rsid w:val="1E107510"/>
    <w:rsid w:val="1E643EFE"/>
    <w:rsid w:val="209E0EC3"/>
    <w:rsid w:val="20FD013F"/>
    <w:rsid w:val="21B95257"/>
    <w:rsid w:val="22140CC1"/>
    <w:rsid w:val="24D63713"/>
    <w:rsid w:val="2870634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4F8449F3"/>
    <w:rsid w:val="522F50B0"/>
    <w:rsid w:val="52567629"/>
    <w:rsid w:val="52A96DE9"/>
    <w:rsid w:val="52BA45EF"/>
    <w:rsid w:val="582B68F4"/>
    <w:rsid w:val="5D083F24"/>
    <w:rsid w:val="5D306324"/>
    <w:rsid w:val="5E0B45F3"/>
    <w:rsid w:val="60860A87"/>
    <w:rsid w:val="60B46440"/>
    <w:rsid w:val="61C6166E"/>
    <w:rsid w:val="635C762A"/>
    <w:rsid w:val="6D0F2134"/>
    <w:rsid w:val="6FD93AE0"/>
    <w:rsid w:val="71224438"/>
    <w:rsid w:val="71715484"/>
    <w:rsid w:val="71FC58C7"/>
    <w:rsid w:val="7249546B"/>
    <w:rsid w:val="729F0AAD"/>
    <w:rsid w:val="73E30ED8"/>
    <w:rsid w:val="75F45C0F"/>
    <w:rsid w:val="78AD3375"/>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32</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forever</cp:lastModifiedBy>
  <cp:lastPrinted>2019-09-11T06:01:00Z</cp:lastPrinted>
  <dcterms:modified xsi:type="dcterms:W3CDTF">2021-06-03T10:35:33Z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