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color w:val="auto"/>
          <w:sz w:val="44"/>
          <w:szCs w:val="44"/>
          <w:lang w:eastAsia="zh-CN"/>
        </w:rPr>
      </w:pPr>
      <w:bookmarkStart w:id="0" w:name="_GoBack"/>
      <w:bookmarkEnd w:id="0"/>
    </w:p>
    <w:p>
      <w:pPr>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lang w:eastAsia="zh-CN"/>
        </w:rPr>
        <w:t>襄垣</w:t>
      </w:r>
      <w:r>
        <w:rPr>
          <w:rFonts w:hint="eastAsia" w:ascii="方正小标宋简体" w:hAnsi="方正小标宋简体" w:eastAsia="方正小标宋简体" w:cs="方正小标宋简体"/>
          <w:color w:val="auto"/>
          <w:sz w:val="44"/>
          <w:szCs w:val="44"/>
        </w:rPr>
        <w:t>县</w:t>
      </w:r>
      <w:r>
        <w:rPr>
          <w:rFonts w:hint="eastAsia" w:ascii="方正小标宋简体" w:hAnsi="方正小标宋简体" w:eastAsia="方正小标宋简体" w:cs="方正小标宋简体"/>
          <w:color w:val="auto"/>
          <w:sz w:val="44"/>
          <w:szCs w:val="44"/>
          <w:lang w:val="en-US" w:eastAsia="zh-CN"/>
        </w:rPr>
        <w:t>人民政府招商中心</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20</w:t>
      </w:r>
      <w:r>
        <w:rPr>
          <w:rFonts w:hint="eastAsia" w:ascii="方正小标宋简体" w:hAnsi="方正小标宋简体" w:eastAsia="方正小标宋简体" w:cs="方正小标宋简体"/>
          <w:color w:val="auto"/>
          <w:sz w:val="44"/>
          <w:szCs w:val="44"/>
        </w:rPr>
        <w:t>年部门</w:t>
      </w:r>
      <w:r>
        <w:rPr>
          <w:rFonts w:hint="eastAsia" w:ascii="方正小标宋简体" w:hAnsi="方正小标宋简体" w:eastAsia="方正小标宋简体" w:cs="方正小标宋简体"/>
          <w:color w:val="auto"/>
          <w:sz w:val="44"/>
          <w:szCs w:val="44"/>
          <w:lang w:eastAsia="zh-CN"/>
        </w:rPr>
        <w:t>预算</w:t>
      </w:r>
      <w:r>
        <w:rPr>
          <w:rFonts w:hint="eastAsia" w:ascii="方正小标宋简体" w:hAnsi="方正小标宋简体" w:eastAsia="方正小标宋简体" w:cs="方正小标宋简体"/>
          <w:color w:val="auto"/>
          <w:sz w:val="44"/>
          <w:szCs w:val="44"/>
        </w:rPr>
        <w:t>公开</w:t>
      </w:r>
      <w:r>
        <w:rPr>
          <w:rFonts w:hint="eastAsia" w:ascii="方正小标宋简体" w:hAnsi="方正小标宋简体" w:eastAsia="方正小标宋简体" w:cs="方正小标宋简体"/>
          <w:color w:val="auto"/>
          <w:sz w:val="44"/>
          <w:szCs w:val="44"/>
          <w:lang w:eastAsia="zh-CN"/>
        </w:rPr>
        <w:t>情况</w:t>
      </w:r>
      <w:r>
        <w:rPr>
          <w:rFonts w:hint="eastAsia" w:ascii="方正小标宋简体" w:hAnsi="方正小标宋简体" w:eastAsia="方正小标宋简体" w:cs="方正小标宋简体"/>
          <w:color w:val="auto"/>
          <w:sz w:val="44"/>
          <w:szCs w:val="44"/>
        </w:rPr>
        <w:t>说明</w:t>
      </w:r>
    </w:p>
    <w:p>
      <w:pPr>
        <w:ind w:firstLine="640" w:firstLineChars="200"/>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 xml:space="preserve"> </w:t>
      </w:r>
    </w:p>
    <w:p>
      <w:pPr>
        <w:ind w:firstLine="643" w:firstLineChars="200"/>
        <w:rPr>
          <w:rFonts w:hint="eastAsia" w:ascii="楷体" w:hAnsi="楷体" w:eastAsia="楷体" w:cstheme="minorEastAsia"/>
          <w:b/>
          <w:bCs w:val="0"/>
          <w:color w:val="auto"/>
          <w:sz w:val="32"/>
          <w:szCs w:val="32"/>
        </w:rPr>
      </w:pPr>
      <w:r>
        <w:rPr>
          <w:rFonts w:hint="eastAsia" w:ascii="黑体" w:hAnsi="黑体" w:eastAsia="黑体" w:cs="黑体"/>
          <w:b/>
          <w:bCs w:val="0"/>
          <w:color w:val="auto"/>
          <w:sz w:val="32"/>
          <w:szCs w:val="32"/>
        </w:rPr>
        <w:t>一、部门主要职能</w:t>
      </w:r>
    </w:p>
    <w:p>
      <w:pPr>
        <w:pStyle w:val="4"/>
        <w:spacing w:before="0" w:beforeAutospacing="0" w:after="0" w:afterAutospacing="0"/>
        <w:ind w:firstLine="640" w:firstLineChars="200"/>
        <w:jc w:val="both"/>
        <w:rPr>
          <w:rFonts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单位主要职责：为全县招商引资提供服务。具体为：1.建立全县招商引资项目库；2.协助制定全县招商引资优惠政策和考核、奖惩办法；3.统筹、协调全县招商引资工作；4.组织专门队伍抓好招商引资工作，负责参加各类会展、洽谈活动的组织工作；5.做好招商引资项目前期对接工作。 </w:t>
      </w:r>
    </w:p>
    <w:p>
      <w:pPr>
        <w:pStyle w:val="4"/>
        <w:spacing w:before="0" w:beforeAutospacing="0" w:after="0" w:afterAutospacing="0"/>
        <w:ind w:firstLine="600" w:firstLineChars="200"/>
        <w:jc w:val="both"/>
        <w:rPr>
          <w:rFonts w:ascii="楷体" w:hAnsi="楷体" w:eastAsia="楷体" w:cstheme="minorEastAsia"/>
          <w:b/>
          <w:bCs w:val="0"/>
          <w:color w:val="auto"/>
          <w:sz w:val="32"/>
          <w:szCs w:val="32"/>
        </w:rPr>
      </w:pPr>
      <w:r>
        <w:rPr>
          <w:rFonts w:hint="eastAsia" w:ascii="黑体" w:hAnsi="黑体" w:eastAsia="黑体" w:cs="黑体"/>
          <w:color w:val="auto"/>
          <w:sz w:val="30"/>
          <w:szCs w:val="30"/>
          <w:shd w:val="clear" w:color="auto" w:fill="FFFFFF"/>
        </w:rPr>
        <w:t> </w:t>
      </w:r>
      <w:r>
        <w:rPr>
          <w:rFonts w:hint="eastAsia" w:ascii="黑体" w:hAnsi="黑体" w:eastAsia="黑体" w:cs="黑体"/>
          <w:b/>
          <w:bCs w:val="0"/>
          <w:color w:val="auto"/>
          <w:sz w:val="32"/>
          <w:szCs w:val="32"/>
        </w:rPr>
        <w:t>二、部门基本情况</w:t>
      </w:r>
    </w:p>
    <w:p>
      <w:pPr>
        <w:widowControl/>
        <w:spacing w:line="324" w:lineRule="atLeast"/>
        <w:ind w:left="540"/>
        <w:jc w:val="left"/>
        <w:rPr>
          <w:rFonts w:hint="eastAsia" w:ascii="仿宋_GB2312" w:hAnsi="楷体" w:eastAsia="仿宋_GB2312" w:cs="宋体"/>
          <w:b w:val="0"/>
          <w:bCs/>
          <w:color w:val="auto"/>
          <w:kern w:val="0"/>
          <w:sz w:val="18"/>
          <w:szCs w:val="18"/>
          <w:lang w:eastAsia="zh-CN"/>
        </w:rPr>
      </w:pPr>
      <w:r>
        <w:rPr>
          <w:rFonts w:hint="eastAsia" w:ascii="楷体" w:hAnsi="楷体" w:eastAsia="楷体" w:cs="楷体"/>
          <w:b w:val="0"/>
          <w:bCs/>
          <w:color w:val="auto"/>
          <w:kern w:val="0"/>
          <w:sz w:val="32"/>
          <w:szCs w:val="32"/>
        </w:rPr>
        <w:t>（一）</w:t>
      </w:r>
      <w:r>
        <w:rPr>
          <w:rFonts w:hint="eastAsia" w:ascii="楷体" w:hAnsi="楷体" w:eastAsia="楷体" w:cs="楷体"/>
          <w:b w:val="0"/>
          <w:bCs/>
          <w:color w:val="auto"/>
          <w:kern w:val="0"/>
          <w:sz w:val="32"/>
          <w:szCs w:val="32"/>
          <w:lang w:eastAsia="zh-CN"/>
        </w:rPr>
        <w:t>机构设置情况</w:t>
      </w:r>
    </w:p>
    <w:p>
      <w:pPr>
        <w:ind w:firstLine="645"/>
        <w:rPr>
          <w:rFonts w:hint="eastAsia" w:ascii="仿宋_GB2312" w:hAnsi="仿宋" w:eastAsia="仿宋_GB2312" w:cstheme="minorEastAsia"/>
          <w:color w:val="auto"/>
          <w:sz w:val="32"/>
          <w:szCs w:val="32"/>
        </w:rPr>
      </w:pPr>
      <w:r>
        <w:rPr>
          <w:rFonts w:hint="eastAsia" w:ascii="仿宋" w:hAnsi="仿宋" w:eastAsia="仿宋"/>
          <w:color w:val="auto"/>
          <w:sz w:val="32"/>
          <w:szCs w:val="32"/>
        </w:rPr>
        <w:t>根据上述职责，我单位设两个机构：办公室（主要负责本单位日常工作：会议组织、档案、信息、图书资料、后勤、财务等及上级交办的其他工作。）；项目科（主要负责本单位项目库的建立、整理、管理、制定引资政策、考核办法、产业引导、以及上级交办的其他工作。）。</w:t>
      </w:r>
    </w:p>
    <w:p>
      <w:pPr>
        <w:ind w:firstLine="640" w:firstLineChars="200"/>
        <w:rPr>
          <w:rFonts w:ascii="仿宋_GB2312" w:hAnsi="楷体" w:eastAsia="仿宋_GB2312" w:cs="宋体"/>
          <w:b w:val="0"/>
          <w:bCs/>
          <w:color w:val="auto"/>
          <w:kern w:val="0"/>
          <w:sz w:val="32"/>
          <w:szCs w:val="32"/>
        </w:rPr>
      </w:pPr>
      <w:r>
        <w:rPr>
          <w:rFonts w:hint="eastAsia" w:ascii="楷体" w:hAnsi="楷体" w:eastAsia="楷体" w:cs="楷体"/>
          <w:b w:val="0"/>
          <w:bCs/>
          <w:color w:val="auto"/>
          <w:kern w:val="0"/>
          <w:sz w:val="32"/>
          <w:szCs w:val="32"/>
        </w:rPr>
        <w:t>（二）人员情况说明</w:t>
      </w:r>
    </w:p>
    <w:p>
      <w:pPr>
        <w:ind w:firstLine="645"/>
        <w:rPr>
          <w:rFonts w:hint="eastAsia" w:ascii="仿宋_GB2312" w:hAnsi="仿宋" w:eastAsia="仿宋_GB2312" w:cstheme="minorEastAsia"/>
          <w:color w:val="auto"/>
          <w:sz w:val="32"/>
          <w:szCs w:val="32"/>
        </w:rPr>
      </w:pPr>
      <w:r>
        <w:rPr>
          <w:rFonts w:ascii="仿宋" w:hAnsi="仿宋" w:eastAsia="仿宋" w:cs="仿宋"/>
          <w:color w:val="auto"/>
          <w:sz w:val="32"/>
          <w:szCs w:val="32"/>
          <w:shd w:val="clear" w:color="auto" w:fill="FFFFFF"/>
        </w:rPr>
        <w:t>襄垣县人民政府招商中心（挂牌招商局）成立于2003年7月，属全额</w:t>
      </w:r>
      <w:r>
        <w:rPr>
          <w:rFonts w:hint="eastAsia" w:ascii="仿宋" w:hAnsi="仿宋" w:eastAsia="仿宋" w:cs="仿宋"/>
          <w:color w:val="auto"/>
          <w:sz w:val="32"/>
          <w:szCs w:val="32"/>
          <w:shd w:val="clear" w:color="auto" w:fill="FFFFFF"/>
          <w:lang w:eastAsia="zh-CN"/>
        </w:rPr>
        <w:t>财政拨款</w:t>
      </w:r>
      <w:r>
        <w:rPr>
          <w:rFonts w:ascii="仿宋" w:hAnsi="仿宋" w:eastAsia="仿宋" w:cs="仿宋"/>
          <w:color w:val="auto"/>
          <w:sz w:val="32"/>
          <w:szCs w:val="32"/>
          <w:shd w:val="clear" w:color="auto" w:fill="FFFFFF"/>
        </w:rPr>
        <w:t>参公事业单位，正科级建制，事业编制9名，科级领导职数3名，科员职数6名，归口</w:t>
      </w:r>
      <w:r>
        <w:rPr>
          <w:rFonts w:hint="eastAsia" w:ascii="仿宋" w:hAnsi="仿宋" w:eastAsia="仿宋" w:cs="仿宋"/>
          <w:color w:val="auto"/>
          <w:sz w:val="32"/>
          <w:szCs w:val="32"/>
          <w:shd w:val="clear" w:color="auto" w:fill="FFFFFF"/>
          <w:lang w:eastAsia="zh-CN"/>
        </w:rPr>
        <w:t>工</w:t>
      </w:r>
      <w:r>
        <w:rPr>
          <w:rFonts w:ascii="仿宋" w:hAnsi="仿宋" w:eastAsia="仿宋" w:cs="仿宋"/>
          <w:color w:val="auto"/>
          <w:sz w:val="32"/>
          <w:szCs w:val="32"/>
          <w:shd w:val="clear" w:color="auto" w:fill="FFFFFF"/>
        </w:rPr>
        <w:t>信局。现单位实有在职人员</w:t>
      </w:r>
      <w:r>
        <w:rPr>
          <w:rFonts w:hint="eastAsia" w:ascii="仿宋" w:hAnsi="仿宋" w:eastAsia="仿宋" w:cs="仿宋"/>
          <w:color w:val="auto"/>
          <w:sz w:val="32"/>
          <w:szCs w:val="32"/>
          <w:shd w:val="clear" w:color="auto" w:fill="FFFFFF"/>
          <w:lang w:val="en-US" w:eastAsia="zh-CN"/>
        </w:rPr>
        <w:t>11</w:t>
      </w:r>
      <w:r>
        <w:rPr>
          <w:rFonts w:ascii="仿宋" w:hAnsi="仿宋" w:eastAsia="仿宋" w:cs="仿宋"/>
          <w:color w:val="auto"/>
          <w:sz w:val="32"/>
          <w:szCs w:val="32"/>
          <w:shd w:val="clear" w:color="auto" w:fill="FFFFFF"/>
        </w:rPr>
        <w:t>名，其中正职1名，副职</w:t>
      </w:r>
      <w:r>
        <w:rPr>
          <w:rFonts w:hint="eastAsia" w:ascii="仿宋" w:hAnsi="仿宋" w:eastAsia="仿宋" w:cs="仿宋"/>
          <w:color w:val="auto"/>
          <w:sz w:val="32"/>
          <w:szCs w:val="32"/>
          <w:shd w:val="clear" w:color="auto" w:fill="FFFFFF"/>
          <w:lang w:val="en-US" w:eastAsia="zh-CN"/>
        </w:rPr>
        <w:t>2</w:t>
      </w:r>
      <w:r>
        <w:rPr>
          <w:rFonts w:ascii="仿宋" w:hAnsi="仿宋" w:eastAsia="仿宋" w:cs="仿宋"/>
          <w:color w:val="auto"/>
          <w:sz w:val="32"/>
          <w:szCs w:val="32"/>
          <w:shd w:val="clear" w:color="auto" w:fill="FFFFFF"/>
        </w:rPr>
        <w:t>名，科员</w:t>
      </w:r>
      <w:r>
        <w:rPr>
          <w:rFonts w:hint="eastAsia" w:ascii="仿宋" w:hAnsi="仿宋" w:eastAsia="仿宋" w:cs="仿宋"/>
          <w:color w:val="auto"/>
          <w:sz w:val="32"/>
          <w:szCs w:val="32"/>
          <w:shd w:val="clear" w:color="auto" w:fill="FFFFFF"/>
          <w:lang w:val="en-US" w:eastAsia="zh-CN"/>
        </w:rPr>
        <w:t>6</w:t>
      </w:r>
      <w:r>
        <w:rPr>
          <w:rFonts w:ascii="仿宋" w:hAnsi="仿宋" w:eastAsia="仿宋" w:cs="仿宋"/>
          <w:color w:val="auto"/>
          <w:sz w:val="32"/>
          <w:szCs w:val="32"/>
          <w:shd w:val="clear" w:color="auto" w:fill="FFFFFF"/>
        </w:rPr>
        <w:t>名</w:t>
      </w:r>
      <w:r>
        <w:rPr>
          <w:rFonts w:hint="eastAsia" w:ascii="仿宋" w:hAnsi="仿宋" w:eastAsia="仿宋" w:cs="仿宋"/>
          <w:color w:val="auto"/>
          <w:sz w:val="32"/>
          <w:szCs w:val="32"/>
          <w:shd w:val="clear" w:color="auto" w:fill="FFFFFF"/>
          <w:lang w:val="en-US" w:eastAsia="zh-CN"/>
        </w:rPr>
        <w:t>,公益岗1名，见习岗1名</w:t>
      </w:r>
      <w:r>
        <w:rPr>
          <w:rFonts w:ascii="仿宋" w:hAnsi="仿宋" w:eastAsia="仿宋" w:cs="仿宋"/>
          <w:color w:val="auto"/>
          <w:sz w:val="32"/>
          <w:szCs w:val="32"/>
          <w:shd w:val="clear" w:color="auto" w:fill="FFFFFF"/>
        </w:rPr>
        <w:t>；退休人员2名。</w:t>
      </w:r>
    </w:p>
    <w:p>
      <w:pPr>
        <w:ind w:firstLine="640" w:firstLineChars="200"/>
        <w:rPr>
          <w:rFonts w:hint="eastAsia" w:ascii="黑体" w:hAnsi="黑体" w:eastAsia="黑体" w:cstheme="minorEastAsia"/>
          <w:color w:val="auto"/>
          <w:sz w:val="32"/>
          <w:szCs w:val="32"/>
          <w:lang w:eastAsia="zh-CN"/>
        </w:rPr>
      </w:pPr>
      <w:r>
        <w:rPr>
          <w:rFonts w:hint="eastAsia" w:ascii="黑体" w:hAnsi="黑体" w:eastAsia="黑体" w:cstheme="minorEastAsia"/>
          <w:color w:val="auto"/>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招商中心2020年度收入、支出预算总计 96.67 万元，与上年相比收、支预算总计各增加15.65万元，增长19.32%。主要原因是人员增加。其中：</w:t>
      </w:r>
    </w:p>
    <w:p>
      <w:pPr>
        <w:ind w:firstLine="645"/>
        <w:rPr>
          <w:rFonts w:hint="eastAsia" w:ascii="楷体" w:hAnsi="楷体" w:eastAsia="楷体" w:cs="楷体"/>
          <w:color w:val="auto"/>
          <w:kern w:val="2"/>
          <w:sz w:val="32"/>
          <w:szCs w:val="32"/>
          <w:lang w:val="en-US" w:eastAsia="zh-CN" w:bidi="ar"/>
        </w:rPr>
      </w:pPr>
      <w:r>
        <w:rPr>
          <w:rFonts w:hint="eastAsia" w:ascii="楷体" w:hAnsi="楷体" w:eastAsia="楷体" w:cs="楷体"/>
          <w:color w:val="auto"/>
          <w:kern w:val="2"/>
          <w:sz w:val="32"/>
          <w:szCs w:val="32"/>
          <w:lang w:val="en-US" w:eastAsia="zh-CN" w:bidi="ar"/>
        </w:rPr>
        <w:t>（一）收入预算总计 96.67万元。包括：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1．财政拨款收入预算总计96.67万元。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 96.67万元，与上年相比增加15.65万元，增长19.32%。主要原因是人员增加。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 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 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楷体" w:hAnsi="楷体" w:eastAsia="楷体" w:cs="楷体"/>
          <w:color w:val="auto"/>
          <w:kern w:val="2"/>
          <w:sz w:val="32"/>
          <w:szCs w:val="32"/>
          <w:lang w:val="en-US" w:eastAsia="zh-CN" w:bidi="ar"/>
        </w:rPr>
        <w:t>（二）支出预算总计 96.67万元。包括：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 67.14万元，主要用于人员和公用经费支出。与上年相比增加（减少）7.39万元，增长（减少）12.37%。主要原因是人员增加。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 29.53万元，主要用于社会保险和就业支出、卫生健康支出和住房保障支出。与上年相比增加（减少）8.26万元，增长（减少）38.83%。主要原因是人员增加。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 96.67万元。与上年相比增加（减少）15.65万元，增长（减少）19.32%。主要原因是人员增加。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 xml:space="preserve">项目支出预算数为0万元。与上年相比增加0（减少） </w:t>
      </w:r>
    </w:p>
    <w:p>
      <w:pPr>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 xml:space="preserve"> 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单位预留机动经费预算数为 0万元。与上年相比增加（减少）0万元，增长（减少）0%。</w:t>
      </w:r>
    </w:p>
    <w:p>
      <w:p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9.55万元，较2019年减少0.25万元，其中：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0.64万元</w:t>
      </w:r>
      <w:r>
        <w:rPr>
          <w:rFonts w:hint="eastAsia" w:ascii="仿宋_GB2312" w:eastAsia="仿宋_GB2312" w:hAnsiTheme="minorEastAsia" w:cstheme="minorEastAsia"/>
          <w:color w:val="auto"/>
          <w:sz w:val="32"/>
          <w:szCs w:val="32"/>
        </w:rPr>
        <w:t>、印刷费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 xml:space="preserve"> 0.1万元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val="en-US" w:eastAsia="zh-CN"/>
        </w:rPr>
        <w:t>邮电费支出0.05万元、工会经费支出0.5万元、福利费支出0.4万元、劳务费支出2.16万元、其他商品和服务支出0.15万元、其他交通费用支出5.55万元。</w:t>
      </w:r>
      <w:r>
        <w:rPr>
          <w:rFonts w:hint="eastAsia" w:ascii="仿宋_GB2312" w:eastAsia="仿宋_GB2312" w:hAnsiTheme="minorEastAsia" w:cstheme="minorEastAsia"/>
          <w:color w:val="auto"/>
          <w:sz w:val="32"/>
          <w:szCs w:val="32"/>
          <w:lang w:eastAsia="zh-CN"/>
        </w:rPr>
        <w:t>主要增减变化情况：</w:t>
      </w:r>
      <w:r>
        <w:rPr>
          <w:rFonts w:hint="eastAsia" w:ascii="仿宋_GB2312" w:eastAsia="仿宋_GB2312" w:hAnsiTheme="minorEastAsia" w:cstheme="minorEastAsia"/>
          <w:color w:val="auto"/>
          <w:sz w:val="32"/>
          <w:szCs w:val="32"/>
          <w:lang w:val="en-US" w:eastAsia="zh-CN"/>
        </w:rPr>
        <w:t>节约开支，经费减少。</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b w:val="0"/>
          <w:bCs/>
          <w:color w:val="auto"/>
          <w:sz w:val="32"/>
          <w:szCs w:val="32"/>
        </w:rPr>
        <w:t>政府采购</w:t>
      </w:r>
      <w:r>
        <w:rPr>
          <w:rFonts w:hint="eastAsia" w:ascii="黑体" w:hAnsi="黑体" w:eastAsia="黑体" w:cs="黑体"/>
          <w:b w:val="0"/>
          <w:bCs/>
          <w:color w:val="auto"/>
          <w:sz w:val="32"/>
          <w:szCs w:val="32"/>
          <w:lang w:eastAsia="zh-CN"/>
        </w:rPr>
        <w:t>安排</w:t>
      </w:r>
      <w:r>
        <w:rPr>
          <w:rFonts w:hint="eastAsia" w:ascii="黑体" w:hAnsi="黑体" w:eastAsia="黑体" w:cs="黑体"/>
          <w:b w:val="0"/>
          <w:bCs/>
          <w:color w:val="auto"/>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lang w:val="en-US" w:eastAsia="zh-CN"/>
        </w:rPr>
        <w:t>5</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5</w:t>
      </w:r>
      <w:r>
        <w:rPr>
          <w:rFonts w:hint="eastAsia" w:ascii="仿宋_GB2312" w:eastAsia="仿宋_GB2312" w:hAnsiTheme="minorEastAsia" w:cstheme="minorEastAsia"/>
          <w:color w:val="auto"/>
          <w:sz w:val="32"/>
          <w:szCs w:val="32"/>
        </w:rPr>
        <w:t>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color w:val="auto"/>
          <w:sz w:val="32"/>
          <w:szCs w:val="32"/>
          <w:lang w:eastAsia="zh-CN"/>
        </w:rPr>
      </w:pP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对专业性较强的名词进行解释</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（一）</w:t>
      </w:r>
      <w:r>
        <w:rPr>
          <w:rFonts w:hint="eastAsia" w:ascii="仿宋_GB2312" w:eastAsia="仿宋_GB2312" w:hAnsiTheme="minorEastAsia" w:cstheme="minorEastAsia"/>
          <w:color w:val="auto"/>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（二）</w:t>
      </w:r>
      <w:r>
        <w:rPr>
          <w:rFonts w:hint="eastAsia" w:ascii="仿宋_GB2312" w:eastAsia="仿宋_GB2312" w:hAnsiTheme="minorEastAsia" w:cstheme="minorEastAsia"/>
          <w:color w:val="auto"/>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（三）</w:t>
      </w:r>
      <w:r>
        <w:rPr>
          <w:rFonts w:hint="eastAsia" w:ascii="仿宋_GB2312" w:eastAsia="仿宋_GB2312" w:hAnsiTheme="minorEastAsia" w:cstheme="minorEastAsia"/>
          <w:color w:val="auto"/>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（四）</w:t>
      </w:r>
      <w:r>
        <w:rPr>
          <w:rFonts w:hint="eastAsia" w:ascii="仿宋_GB2312" w:eastAsia="仿宋_GB2312" w:hAnsiTheme="minorEastAsia" w:cstheme="minorEastAsia"/>
          <w:color w:val="auto"/>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仿宋_GB2312" w:eastAsia="仿宋_GB2312" w:hAnsiTheme="minorEastAsia" w:cstheme="minorEastAsia"/>
          <w:color w:val="auto"/>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（六）</w:t>
      </w:r>
      <w:r>
        <w:rPr>
          <w:rFonts w:hint="eastAsia" w:ascii="仿宋_GB2312" w:eastAsia="仿宋_GB2312" w:hAnsiTheme="minorEastAsia" w:cstheme="minorEastAsia"/>
          <w:color w:val="auto"/>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（七）</w:t>
      </w:r>
      <w:r>
        <w:rPr>
          <w:rFonts w:hint="eastAsia" w:ascii="仿宋_GB2312" w:eastAsia="仿宋_GB2312" w:hAnsiTheme="minorEastAsia" w:cstheme="minorEastAsia"/>
          <w:color w:val="auto"/>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（八）</w:t>
      </w:r>
      <w:r>
        <w:rPr>
          <w:rFonts w:hint="eastAsia" w:ascii="仿宋_GB2312" w:eastAsia="仿宋_GB2312" w:hAnsiTheme="minorEastAsia" w:cstheme="minorEastAsia"/>
          <w:color w:val="auto"/>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（九）</w:t>
      </w:r>
      <w:r>
        <w:rPr>
          <w:rFonts w:hint="eastAsia" w:ascii="仿宋_GB2312" w:eastAsia="仿宋_GB2312" w:hAnsiTheme="minorEastAsia" w:cstheme="minorEastAsia"/>
          <w:color w:val="auto"/>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（十）</w:t>
      </w:r>
      <w:r>
        <w:rPr>
          <w:rFonts w:hint="eastAsia" w:ascii="仿宋_GB2312" w:eastAsia="仿宋_GB2312" w:hAnsiTheme="minorEastAsia" w:cstheme="minorEastAsia"/>
          <w:color w:val="auto"/>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十一</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十二</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十三</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十四</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十五</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十六</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七、国有</w:t>
      </w:r>
      <w:r>
        <w:rPr>
          <w:rFonts w:hint="eastAsia" w:ascii="黑体" w:hAnsi="黑体" w:eastAsia="黑体" w:cs="黑体"/>
          <w:b w:val="0"/>
          <w:bCs/>
          <w:color w:val="auto"/>
          <w:sz w:val="32"/>
          <w:szCs w:val="32"/>
          <w:lang w:val="en-US" w:eastAsia="zh-CN"/>
        </w:rPr>
        <w:t>资产占用情况说明</w:t>
      </w:r>
    </w:p>
    <w:p>
      <w:pPr>
        <w:pStyle w:val="4"/>
        <w:keepNext w:val="0"/>
        <w:keepLines w:val="0"/>
        <w:widowControl/>
        <w:suppressLineNumbers w:val="0"/>
        <w:spacing w:before="0" w:beforeAutospacing="0" w:after="0" w:afterAutospacing="0"/>
        <w:ind w:left="0"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截止2019年12月31日，本单位资产总额 4.70万元，其中流动资产0.01万元，固定资产 4.69万元，在建工程 0万元，无形资产 0万元。固定资产当中，房屋构筑物 0万元，汽车0 辆 0万元，单价200万元以上大型设备价值 0 万元，其他固定资产4.69万元。    </w:t>
      </w:r>
    </w:p>
    <w:p>
      <w:pPr>
        <w:pStyle w:val="4"/>
        <w:keepNext w:val="0"/>
        <w:keepLines w:val="0"/>
        <w:widowControl/>
        <w:suppressLineNumbers w:val="0"/>
        <w:spacing w:before="0" w:beforeAutospacing="0" w:after="0" w:afterAutospacing="0"/>
        <w:ind w:left="0" w:right="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与上年相比，本年资产总额减少1.12 万元（固定资产折旧）。    </w:t>
      </w:r>
    </w:p>
    <w:p>
      <w:pPr>
        <w:ind w:firstLine="640" w:firstLineChars="200"/>
        <w:rPr>
          <w:rFonts w:hint="eastAsia" w:ascii="楷体" w:hAnsi="楷体" w:eastAsia="楷体" w:cstheme="minorEastAsia"/>
          <w:b w:val="0"/>
          <w:bCs/>
          <w:color w:val="auto"/>
          <w:sz w:val="32"/>
          <w:szCs w:val="32"/>
          <w:lang w:val="en-US" w:eastAsia="zh-CN"/>
        </w:rPr>
      </w:pPr>
      <w:r>
        <w:rPr>
          <w:rFonts w:hint="eastAsia" w:ascii="黑体" w:hAnsi="黑体" w:eastAsia="黑体" w:cs="黑体"/>
          <w:b w:val="0"/>
          <w:bCs/>
          <w:color w:val="auto"/>
          <w:sz w:val="32"/>
          <w:szCs w:val="32"/>
          <w:lang w:val="en-US" w:eastAsia="zh-CN"/>
        </w:rPr>
        <w:t>八、重点项目预算的绩效目标等预算绩效情况说明</w:t>
      </w:r>
    </w:p>
    <w:p>
      <w:pPr>
        <w:pStyle w:val="4"/>
        <w:keepNext w:val="0"/>
        <w:keepLines w:val="0"/>
        <w:widowControl/>
        <w:suppressLineNumbers w:val="0"/>
        <w:spacing w:before="0" w:beforeAutospacing="0" w:after="0" w:afterAutospacing="0"/>
        <w:ind w:left="0"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招商中心本年度无重点项目支出，不涉及绩效等情况说明  </w:t>
      </w:r>
    </w:p>
    <w:p>
      <w:p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一般公共预算“三公”经费支出</w:t>
      </w:r>
      <w:r>
        <w:rPr>
          <w:rFonts w:hint="eastAsia" w:ascii="黑体" w:hAnsi="黑体" w:eastAsia="黑体" w:cs="黑体"/>
          <w:b w:val="0"/>
          <w:bCs/>
          <w:color w:val="auto"/>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年度一般公共预算“三公”经费</w:t>
      </w:r>
      <w:r>
        <w:rPr>
          <w:rFonts w:hint="eastAsia" w:ascii="仿宋_GB2312" w:eastAsia="仿宋_GB2312" w:hAnsiTheme="minorEastAsia" w:cstheme="minorEastAsia"/>
          <w:color w:val="auto"/>
          <w:sz w:val="32"/>
          <w:szCs w:val="32"/>
          <w:lang w:val="en-US" w:eastAsia="zh-CN"/>
        </w:rPr>
        <w:t>调整</w:t>
      </w:r>
      <w:r>
        <w:rPr>
          <w:rFonts w:hint="eastAsia" w:ascii="仿宋_GB2312" w:eastAsia="仿宋_GB2312" w:hAnsiTheme="minorEastAsia" w:cstheme="minorEastAsia"/>
          <w:color w:val="auto"/>
          <w:sz w:val="32"/>
          <w:szCs w:val="32"/>
        </w:rPr>
        <w:t>预算数为</w:t>
      </w:r>
      <w:r>
        <w:rPr>
          <w:rFonts w:hint="eastAsia" w:ascii="仿宋_GB2312" w:eastAsia="仿宋_GB2312" w:hAnsiTheme="minorEastAsia" w:cstheme="minorEastAsia"/>
          <w:color w:val="auto"/>
          <w:sz w:val="32"/>
          <w:szCs w:val="32"/>
          <w:lang w:val="en-US" w:eastAsia="zh-CN"/>
        </w:rPr>
        <w:t>4</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较20</w:t>
      </w:r>
      <w:r>
        <w:rPr>
          <w:rFonts w:hint="eastAsia" w:ascii="仿宋_GB2312" w:eastAsia="仿宋_GB2312" w:hAnsiTheme="minorEastAsia" w:cstheme="minorEastAsia"/>
          <w:color w:val="auto"/>
          <w:sz w:val="32"/>
          <w:szCs w:val="32"/>
          <w:lang w:val="en-US" w:eastAsia="zh-CN"/>
        </w:rPr>
        <w:t>19</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增加4</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增长100</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w:t>
      </w:r>
      <w:r>
        <w:rPr>
          <w:rFonts w:hint="eastAsia" w:ascii="仿宋_GB2312" w:eastAsia="仿宋_GB2312" w:hAnsiTheme="minorEastAsia" w:cstheme="minorEastAsia"/>
          <w:color w:val="auto"/>
          <w:sz w:val="32"/>
          <w:szCs w:val="32"/>
          <w:lang w:val="en-US" w:eastAsia="zh-CN"/>
        </w:rPr>
        <w:t>调整</w:t>
      </w:r>
      <w:r>
        <w:rPr>
          <w:rFonts w:hint="eastAsia" w:ascii="仿宋_GB2312" w:eastAsia="仿宋_GB2312" w:hAnsiTheme="minorEastAsia" w:cstheme="minorEastAsia"/>
          <w:color w:val="auto"/>
          <w:sz w:val="32"/>
          <w:szCs w:val="32"/>
        </w:rPr>
        <w:t>预算数为</w:t>
      </w:r>
      <w:r>
        <w:rPr>
          <w:rFonts w:hint="eastAsia" w:ascii="仿宋_GB2312" w:eastAsia="仿宋_GB2312" w:hAnsiTheme="minorEastAsia" w:cstheme="minorEastAsia"/>
          <w:color w:val="auto"/>
          <w:sz w:val="32"/>
          <w:szCs w:val="32"/>
          <w:lang w:val="en-US" w:eastAsia="zh-CN"/>
        </w:rPr>
        <w:t>4</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增加4</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增长100</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去年预算批复中没包括项目经费。</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年增加（减少）0万元，增长（下降）0%；公务用车运行维护费支出年初预算数为0万元，较201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十、政府性基金预算支出预算情况说明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color w:val="auto"/>
          <w:sz w:val="32"/>
          <w:szCs w:val="32"/>
        </w:rPr>
      </w:pPr>
    </w:p>
    <w:p>
      <w:pPr>
        <w:ind w:firstLine="640" w:firstLineChars="200"/>
        <w:rPr>
          <w:rFonts w:asciiTheme="minorEastAsia" w:hAnsiTheme="minorEastAsia" w:cstheme="minorEastAsia"/>
          <w:color w:val="auto"/>
          <w:sz w:val="32"/>
          <w:szCs w:val="32"/>
        </w:rPr>
      </w:pPr>
    </w:p>
    <w:p>
      <w:pPr>
        <w:ind w:firstLine="640" w:firstLineChars="200"/>
        <w:rPr>
          <w:rFonts w:asciiTheme="minorEastAsia" w:hAnsiTheme="minorEastAsia" w:cstheme="minorEastAsia"/>
          <w:color w:val="auto"/>
          <w:sz w:val="32"/>
          <w:szCs w:val="32"/>
        </w:rPr>
      </w:pPr>
    </w:p>
    <w:p>
      <w:pPr>
        <w:ind w:firstLine="640" w:firstLineChars="200"/>
        <w:rPr>
          <w:rFonts w:asciiTheme="minorEastAsia" w:hAnsiTheme="minorEastAsia" w:cstheme="minorEastAsia"/>
          <w:color w:val="auto"/>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NjFmNjY0YTJjMzVjZWVkMmFlMTUxMDA0OTA4MTA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055655"/>
    <w:rsid w:val="0DE649EC"/>
    <w:rsid w:val="0EE25EB1"/>
    <w:rsid w:val="10CB3E8D"/>
    <w:rsid w:val="11F35FF2"/>
    <w:rsid w:val="179A58B8"/>
    <w:rsid w:val="1B4A6025"/>
    <w:rsid w:val="1D607025"/>
    <w:rsid w:val="1DF453AF"/>
    <w:rsid w:val="1E107510"/>
    <w:rsid w:val="1E643EFE"/>
    <w:rsid w:val="209E0EC3"/>
    <w:rsid w:val="22140CC1"/>
    <w:rsid w:val="24D63713"/>
    <w:rsid w:val="267D784E"/>
    <w:rsid w:val="2A937DAC"/>
    <w:rsid w:val="2DB60033"/>
    <w:rsid w:val="2F754CA8"/>
    <w:rsid w:val="2FB928F6"/>
    <w:rsid w:val="330E2A8E"/>
    <w:rsid w:val="341824CB"/>
    <w:rsid w:val="343F3937"/>
    <w:rsid w:val="34D53928"/>
    <w:rsid w:val="36870474"/>
    <w:rsid w:val="368A62E5"/>
    <w:rsid w:val="37015ED3"/>
    <w:rsid w:val="39E01B38"/>
    <w:rsid w:val="3F5C42DA"/>
    <w:rsid w:val="43E475B8"/>
    <w:rsid w:val="458B37F5"/>
    <w:rsid w:val="467D2DBE"/>
    <w:rsid w:val="48832669"/>
    <w:rsid w:val="48E87EB6"/>
    <w:rsid w:val="48F6151A"/>
    <w:rsid w:val="4A4F3891"/>
    <w:rsid w:val="4AFA4BB2"/>
    <w:rsid w:val="4D4F71C4"/>
    <w:rsid w:val="4D9B3CEE"/>
    <w:rsid w:val="4EBA5260"/>
    <w:rsid w:val="50AA2DEC"/>
    <w:rsid w:val="522F50B0"/>
    <w:rsid w:val="52567629"/>
    <w:rsid w:val="582B68F4"/>
    <w:rsid w:val="5D083F24"/>
    <w:rsid w:val="5D306324"/>
    <w:rsid w:val="5E0B45F3"/>
    <w:rsid w:val="5E113426"/>
    <w:rsid w:val="5E614851"/>
    <w:rsid w:val="60860A87"/>
    <w:rsid w:val="60B46440"/>
    <w:rsid w:val="61C6166E"/>
    <w:rsid w:val="635C762A"/>
    <w:rsid w:val="69A92663"/>
    <w:rsid w:val="6FD93AE0"/>
    <w:rsid w:val="71715484"/>
    <w:rsid w:val="71FC58C7"/>
    <w:rsid w:val="7249546B"/>
    <w:rsid w:val="729F0AAD"/>
    <w:rsid w:val="73024108"/>
    <w:rsid w:val="74B84E59"/>
    <w:rsid w:val="759F7475"/>
    <w:rsid w:val="75F45C0F"/>
    <w:rsid w:val="76614B95"/>
    <w:rsid w:val="7777799C"/>
    <w:rsid w:val="7C7014AB"/>
    <w:rsid w:val="7DA3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2838</Words>
  <Characters>3017</Characters>
  <Lines>27</Lines>
  <Paragraphs>7</Paragraphs>
  <TotalTime>14</TotalTime>
  <ScaleCrop>false</ScaleCrop>
  <LinksUpToDate>false</LinksUpToDate>
  <CharactersWithSpaces>3066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Almost</cp:lastModifiedBy>
  <cp:lastPrinted>2019-09-11T06:01:00Z</cp:lastPrinted>
  <dcterms:modified xsi:type="dcterms:W3CDTF">2022-05-20T08:25:07Z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7EA611A1E1B9426F92402DD142C20D7C</vt:lpwstr>
  </property>
</Properties>
</file>