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000000" w:themeColor="text1"/>
          <w:sz w:val="44"/>
          <w:szCs w:val="44"/>
          <w:lang w:eastAsia="zh-CN"/>
          <w14:textFill>
            <w14:solidFill>
              <w14:schemeClr w14:val="tx1"/>
            </w14:solidFill>
          </w14:textFill>
        </w:rPr>
      </w:pPr>
    </w:p>
    <w:p>
      <w:pPr>
        <w:jc w:val="center"/>
        <w:rPr>
          <w:rFonts w:hint="eastAsia" w:ascii="Arial" w:hAnsi="Arial" w:eastAsia="黑体" w:cs="Arial"/>
          <w:color w:val="000000" w:themeColor="text1"/>
          <w:sz w:val="44"/>
          <w:szCs w:val="44"/>
          <w:lang w:eastAsia="zh-CN"/>
          <w14:textFill>
            <w14:solidFill>
              <w14:schemeClr w14:val="tx1"/>
            </w14:solidFill>
          </w14:textFill>
        </w:rPr>
      </w:pPr>
      <w:r>
        <w:rPr>
          <w:rFonts w:hint="eastAsia" w:ascii="黑体" w:hAnsi="黑体" w:eastAsia="黑体" w:cstheme="minorEastAsia"/>
          <w:color w:val="000000" w:themeColor="text1"/>
          <w:sz w:val="44"/>
          <w:szCs w:val="44"/>
          <w:lang w:eastAsia="zh-CN"/>
          <w14:textFill>
            <w14:solidFill>
              <w14:schemeClr w14:val="tx1"/>
            </w14:solidFill>
          </w14:textFill>
        </w:rPr>
        <w:t>襄垣</w:t>
      </w:r>
      <w:r>
        <w:rPr>
          <w:rFonts w:hint="eastAsia" w:ascii="黑体" w:hAnsi="黑体" w:eastAsia="黑体" w:cstheme="minorEastAsia"/>
          <w:color w:val="000000" w:themeColor="text1"/>
          <w:sz w:val="44"/>
          <w:szCs w:val="44"/>
          <w14:textFill>
            <w14:solidFill>
              <w14:schemeClr w14:val="tx1"/>
            </w14:solidFill>
          </w14:textFill>
        </w:rPr>
        <w:t>县</w:t>
      </w:r>
      <w:r>
        <w:rPr>
          <w:rFonts w:hint="eastAsia" w:ascii="Arial" w:hAnsi="Arial" w:eastAsia="黑体" w:cs="Arial"/>
          <w:color w:val="000000" w:themeColor="text1"/>
          <w:sz w:val="44"/>
          <w:szCs w:val="44"/>
          <w:lang w:eastAsia="zh-CN"/>
          <w14:textFill>
            <w14:solidFill>
              <w14:schemeClr w14:val="tx1"/>
            </w14:solidFill>
          </w14:textFill>
        </w:rPr>
        <w:t>人民政府办公室</w:t>
      </w:r>
    </w:p>
    <w:p>
      <w:pPr>
        <w:jc w:val="center"/>
        <w:rPr>
          <w:rFonts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14:textFill>
            <w14:solidFill>
              <w14:schemeClr w14:val="tx1"/>
            </w14:solidFill>
          </w14:textFill>
        </w:rPr>
        <w:t>20</w:t>
      </w:r>
      <w:r>
        <w:rPr>
          <w:rFonts w:hint="eastAsia" w:ascii="黑体" w:hAnsi="黑体" w:eastAsia="黑体" w:cstheme="minorEastAsia"/>
          <w:color w:val="000000" w:themeColor="text1"/>
          <w:sz w:val="44"/>
          <w:szCs w:val="44"/>
          <w:lang w:val="en-US" w:eastAsia="zh-CN"/>
          <w14:textFill>
            <w14:solidFill>
              <w14:schemeClr w14:val="tx1"/>
            </w14:solidFill>
          </w14:textFill>
        </w:rPr>
        <w:t>20</w:t>
      </w:r>
      <w:r>
        <w:rPr>
          <w:rFonts w:hint="eastAsia" w:ascii="黑体" w:hAnsi="黑体" w:eastAsia="黑体" w:cstheme="minorEastAsia"/>
          <w:color w:val="000000" w:themeColor="text1"/>
          <w:sz w:val="44"/>
          <w:szCs w:val="44"/>
          <w14:textFill>
            <w14:solidFill>
              <w14:schemeClr w14:val="tx1"/>
            </w14:solidFill>
          </w14:textFill>
        </w:rPr>
        <w:t>年部门</w:t>
      </w:r>
      <w:r>
        <w:rPr>
          <w:rFonts w:hint="eastAsia" w:ascii="黑体" w:hAnsi="黑体" w:eastAsia="黑体" w:cstheme="minorEastAsia"/>
          <w:color w:val="000000" w:themeColor="text1"/>
          <w:sz w:val="44"/>
          <w:szCs w:val="44"/>
          <w:lang w:eastAsia="zh-CN"/>
          <w14:textFill>
            <w14:solidFill>
              <w14:schemeClr w14:val="tx1"/>
            </w14:solidFill>
          </w14:textFill>
        </w:rPr>
        <w:t>预算</w:t>
      </w:r>
      <w:r>
        <w:rPr>
          <w:rFonts w:hint="eastAsia" w:ascii="黑体" w:hAnsi="黑体" w:eastAsia="黑体" w:cstheme="minorEastAsia"/>
          <w:color w:val="000000" w:themeColor="text1"/>
          <w:sz w:val="44"/>
          <w:szCs w:val="44"/>
          <w14:textFill>
            <w14:solidFill>
              <w14:schemeClr w14:val="tx1"/>
            </w14:solidFill>
          </w14:textFill>
        </w:rPr>
        <w:t>公开</w:t>
      </w:r>
      <w:r>
        <w:rPr>
          <w:rFonts w:hint="eastAsia" w:ascii="黑体" w:hAnsi="黑体" w:eastAsia="黑体" w:cstheme="minorEastAsia"/>
          <w:color w:val="000000" w:themeColor="text1"/>
          <w:sz w:val="44"/>
          <w:szCs w:val="44"/>
          <w:lang w:eastAsia="zh-CN"/>
          <w14:textFill>
            <w14:solidFill>
              <w14:schemeClr w14:val="tx1"/>
            </w14:solidFill>
          </w14:textFill>
        </w:rPr>
        <w:t>情况</w:t>
      </w:r>
      <w:r>
        <w:rPr>
          <w:rFonts w:hint="eastAsia" w:ascii="黑体" w:hAnsi="黑体" w:eastAsia="黑体" w:cstheme="minorEastAsia"/>
          <w:color w:val="000000" w:themeColor="text1"/>
          <w:sz w:val="44"/>
          <w:szCs w:val="44"/>
          <w14:textFill>
            <w14:solidFill>
              <w14:schemeClr w14:val="tx1"/>
            </w14:solidFill>
          </w14:textFill>
        </w:rPr>
        <w:t>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Theme="minorEastAsia" w:hAnsiTheme="minorEastAsia" w:cstheme="minorEastAsia"/>
          <w:color w:val="000000" w:themeColor="text1"/>
          <w:sz w:val="32"/>
          <w:szCs w:val="32"/>
          <w14:textFill>
            <w14:solidFill>
              <w14:schemeClr w14:val="tx1"/>
            </w14:solidFill>
          </w14:textFill>
        </w:rPr>
        <w:t xml:space="preserve"> </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一、部门主要职能</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（一）负责县政府各类会议的组织实施工作。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（二）协助县政府领导组织起草或审核以县政府、县政府办公室名义发布的公文。办理党中央、国务院、省委、省政府、市委、市政府及各工作部门的公文；指导全县行政机关公文处理工作。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（三）研究县政府各工作部门和各乡镇人民政府请示县政府的问题，提出审核意见，报县政府领导审批。</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（四）督促检查县政府各部门和各乡镇人民政府对县政府公文、会议决定事项及县政府领导有关指示的执行落实情况并跟踪调研，及时向县政府领导汇告。</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（五）负责县政府值班工作，及时向县政府领导报告重要情况；协调处理县政府各部门和各乡镇向县政府反映的重要问题。处理、接待人民群众来信、来访，征集人民群众对县政府的建议和意见。</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（六）协助县政府领导做好需由县政府直接处理的突发事件和重大事件。</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（七）对全县经济和社会发展的重大问题及县政府各项政策、决策组织调查研究，及时反映情况，提出建议。</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（八）负责全县政务信息工作，及时提供信息咨询服务，及时向省、市、县政府报送重要信息。</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（九）组织办理人大代表议案和政协委员提案。</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（十）统一刻制、颁发各乡镇人民政府、县直各委局办及下属单位的印章。</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（十一）负责县政府驻外办事机构和办公室所属部门的管理工作。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（十二）负责政府法制工作及行政复议工作。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（十三）负责全县的民族宗教工作。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（十四）做好办公室机关职工的思想政治工作、人事工作和老干部工作。</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（十五）做好县政府领导交办的其他事项。</w:t>
      </w: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襄垣县人民政府办公室内设7个职能股室、中心，职能股室、中心分别为：行政股、会务股、党建股、督查股、秘书股、信息中心、外事办。下设政府信息中心、政府网络中心、仲裁联络处、政务值班中心4个事业单位。</w:t>
      </w:r>
      <w:r>
        <w:rPr>
          <w:rFonts w:hint="eastAsia" w:ascii="仿宋" w:hAnsi="仿宋" w:eastAsia="仿宋" w:cs="仿宋_GB2312"/>
          <w:color w:val="000000" w:themeColor="text1"/>
          <w:kern w:val="2"/>
          <w:sz w:val="30"/>
          <w:szCs w:val="30"/>
          <w:lang w:val="en-US" w:eastAsia="zh-CN" w:bidi="ar"/>
          <w14:textFill>
            <w14:solidFill>
              <w14:schemeClr w14:val="tx1"/>
            </w14:solidFill>
          </w14:textFill>
        </w:rPr>
        <w:t xml:space="preserve"> </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5"/>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现有行政、事业编制36名，其中，行政编制27名，事业编制9名。实有24人，其中公务员13名，行政工勤6人，事业人员5名。</w:t>
      </w:r>
      <w:bookmarkStart w:id="0" w:name="_GoBack"/>
      <w:bookmarkEnd w:id="0"/>
    </w:p>
    <w:p>
      <w:pPr>
        <w:ind w:firstLine="640" w:firstLineChars="200"/>
        <w:rPr>
          <w:rFonts w:hint="eastAsia" w:ascii="黑体" w:hAnsi="黑体" w:eastAsia="黑体" w:cstheme="minorEastAsia"/>
          <w:color w:val="000000" w:themeColor="text1"/>
          <w:sz w:val="32"/>
          <w:szCs w:val="32"/>
          <w:lang w:eastAsia="zh-CN"/>
          <w14:textFill>
            <w14:solidFill>
              <w14:schemeClr w14:val="tx1"/>
            </w14:solidFill>
          </w14:textFill>
        </w:rPr>
      </w:pPr>
      <w:r>
        <w:rPr>
          <w:rFonts w:hint="eastAsia" w:ascii="黑体" w:hAnsi="黑体" w:eastAsia="黑体" w:cstheme="minorEastAsia"/>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襄垣县人民政府办公室</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2020年度收入、支出预算总计  316.6万元，与上年相比收、支预算总计各减少4.57万元，减少1.42 %。主要原因是人员工资。其中：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（一）收入预算总计316.6万元。包括：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 316.6 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（1）一般公共预算收入预算316.6万元，与上年相比减少4.57万元，减少1.42 %。主要原因是人员工资。</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 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2．财政专户管理资金收入预算总计0万元。与上年相比增加（减少）0 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 0万元。与上年相比增加（减少）0 万元，增长（减少）0%。主要原因是无此项预算。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4．上年结转资金预算数为0万元。与上年相比增加（减少） 万元，增长（减少）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（二）支出预算总计316.6万元。包括：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1．一般公共服务（类）支出238.2万元，主要用于人员经费、公用经费。与上年相比增加1.5万元，增长0.63 %。主要原因是人员工资。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2．社会保障与就业支出42.12万元，主要用于人员工资。与上年相比减少7.55万元，减少15.2%。主要原因是人员工资。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3．医疗卫生与计划生育支出14.3万元，主要用于人员工资。与上年相比增加0.31万元，增加2.22%。主要原因是人员工资。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4．住房保障支出21.98万元，主要用于人员工资。与上年相比增加1.17万元，增加5.62%。主要原因是人员工资。</w:t>
      </w:r>
    </w:p>
    <w:p>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5．结转下年资金预算数为0万元。</w:t>
      </w:r>
    </w:p>
    <w:p>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此外，基本支出预算数为316.6万元。与上年相比减少4.57万元，减少1.42 %。主要原因是人员工资。</w:t>
      </w:r>
    </w:p>
    <w:p>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项目支出预算数为 301.73万元。与上年相比增加154.93万元，增长331.05%。主要原因是专项业务经费增加。</w:t>
      </w:r>
    </w:p>
    <w:p>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单位预留机动经费预算数为0 万元。与上年相比增加（减少）0万元，增长（减少）0 %。主要原因是无此项预算。</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单位机关运行经费支出预算数为34.53万元，较2019年减少1.14万元，减少3.41%。其中：办公费支出1万元、印刷费支出1万元、差旅费1万元、培训费2.56万元、工会经费2.26万元、福利费6.60万元、其他交通费19.14万元、其他商品服务支出0.97万元。主要增减变化情况：其他交通费增加。</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4" w:lineRule="atLeast"/>
        <w:ind w:left="0" w:right="0" w:firstLine="640" w:firstLineChars="200"/>
        <w:jc w:val="both"/>
        <w:textAlignment w:val="auto"/>
        <w:rPr>
          <w:rFonts w:hint="eastAsia"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pPr>
      <w:r>
        <w:rPr>
          <w:rFonts w:hint="eastAsia"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t xml:space="preserve">截止2019年12月31日，本单位资产总额556.81万元，其中流动资146.84万元，固定资产409.97万元，在建工程0万元，无形资产0万元。固定资产当中，房屋构筑物45.98万元，汽车28辆210.55万元，单价200万元以上大型设备价值0万元，其他固定资产0万元。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t>与上年相比，本年资产总额减少201.32万元。</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 </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4" w:lineRule="atLeast"/>
        <w:ind w:left="0" w:right="0" w:firstLine="640" w:firstLineChars="200"/>
        <w:jc w:val="both"/>
        <w:textAlignment w:val="auto"/>
        <w:rPr>
          <w:rFonts w:hint="default"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pPr>
      <w:r>
        <w:rPr>
          <w:rFonts w:hint="eastAsia"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t>我单位本年度项目支出201.73万元，无重点项目支出。</w:t>
      </w:r>
    </w:p>
    <w:p>
      <w:pPr>
        <w:keepNext w:val="0"/>
        <w:keepLines w:val="0"/>
        <w:pageBreakBefore w:val="0"/>
        <w:numPr>
          <w:ilvl w:val="0"/>
          <w:numId w:val="1"/>
        </w:numPr>
        <w:kinsoku/>
        <w:wordWrap/>
        <w:overflowPunct/>
        <w:topLinePunct w:val="0"/>
        <w:autoSpaceDE/>
        <w:autoSpaceDN/>
        <w:bidi w:val="0"/>
        <w:adjustRightInd/>
        <w:snapToGrid/>
        <w:ind w:firstLine="640" w:firstLineChars="200"/>
        <w:textAlignment w:val="auto"/>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pPr>
      <w:r>
        <w:rPr>
          <w:rFonts w:hint="eastAsia"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t>本单位本年度无此项预算，故无此项说明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pPr>
      <w:r>
        <w:rPr>
          <w:rFonts w:hint="eastAsia"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t>本单位本年度无此项预算，故无此项说明</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eastAsia="仿宋_GB2312" w:hAnsiTheme="minorEastAsia" w:cstheme="minorEastAsia"/>
          <w:color w:val="000000" w:themeColor="text1"/>
          <w:kern w:val="2"/>
          <w:sz w:val="32"/>
          <w:szCs w:val="32"/>
          <w:lang w:val="en-US" w:eastAsia="zh-CN" w:bidi="ar-SA"/>
          <w14:textFill>
            <w14:solidFill>
              <w14:schemeClr w14:val="tx1"/>
            </w14:solidFill>
          </w14:textFill>
        </w:rPr>
      </w:pPr>
    </w:p>
    <w:p>
      <w:pPr>
        <w:keepNext w:val="0"/>
        <w:keepLines w:val="0"/>
        <w:pageBreakBefore w:val="0"/>
        <w:kinsoku/>
        <w:wordWrap/>
        <w:overflowPunct/>
        <w:topLinePunct w:val="0"/>
        <w:autoSpaceDE/>
        <w:autoSpaceDN/>
        <w:bidi w:val="0"/>
        <w:adjustRightInd/>
        <w:snapToGrid/>
        <w:ind w:firstLine="640" w:firstLineChars="200"/>
        <w:textAlignment w:val="auto"/>
        <w:rPr>
          <w:rFonts w:asciiTheme="minorEastAsia" w:hAnsiTheme="minorEastAsia" w:cstheme="minorEastAsia"/>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ind w:firstLine="640" w:firstLineChars="200"/>
        <w:textAlignment w:val="auto"/>
        <w:rPr>
          <w:rFonts w:asciiTheme="minorEastAsia" w:hAnsiTheme="minorEastAsia" w:cstheme="min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784AA"/>
    <w:multiLevelType w:val="singleLevel"/>
    <w:tmpl w:val="522784AA"/>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9E73C8D"/>
    <w:rsid w:val="3F5C42DA"/>
    <w:rsid w:val="410C2579"/>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2471148"/>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2021-06-04T03:54:30Z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