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000000" w:themeColor="text1"/>
          <w:sz w:val="44"/>
          <w:szCs w:val="44"/>
          <w:lang w:eastAsia="zh-CN"/>
          <w14:textFill>
            <w14:solidFill>
              <w14:schemeClr w14:val="tx1"/>
            </w14:solidFill>
          </w14:textFill>
        </w:rPr>
      </w:pPr>
    </w:p>
    <w:p>
      <w:pPr>
        <w:jc w:val="center"/>
        <w:rPr>
          <w:rFonts w:hint="eastAsia"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lang w:eastAsia="zh-CN"/>
          <w14:textFill>
            <w14:solidFill>
              <w14:schemeClr w14:val="tx1"/>
            </w14:solidFill>
          </w14:textFill>
        </w:rPr>
        <w:t>襄垣</w:t>
      </w:r>
      <w:r>
        <w:rPr>
          <w:rFonts w:hint="eastAsia" w:ascii="黑体" w:hAnsi="黑体" w:eastAsia="黑体" w:cstheme="minorEastAsia"/>
          <w:color w:val="000000" w:themeColor="text1"/>
          <w:sz w:val="44"/>
          <w:szCs w:val="44"/>
          <w14:textFill>
            <w14:solidFill>
              <w14:schemeClr w14:val="tx1"/>
            </w14:solidFill>
          </w14:textFill>
        </w:rPr>
        <w:t>县</w:t>
      </w:r>
      <w:r>
        <w:rPr>
          <w:rFonts w:hint="eastAsia" w:ascii="Arial" w:hAnsi="Arial" w:eastAsia="黑体" w:cs="Arial"/>
          <w:color w:val="000000" w:themeColor="text1"/>
          <w:sz w:val="44"/>
          <w:szCs w:val="44"/>
          <w:lang w:eastAsia="zh-CN"/>
          <w14:textFill>
            <w14:solidFill>
              <w14:schemeClr w14:val="tx1"/>
            </w14:solidFill>
          </w14:textFill>
        </w:rPr>
        <w:t>善福乡人民政府</w:t>
      </w:r>
    </w:p>
    <w:p>
      <w:pPr>
        <w:jc w:val="center"/>
        <w:rPr>
          <w:rFonts w:ascii="黑体" w:hAnsi="黑体" w:eastAsia="黑体" w:cstheme="minorEastAsia"/>
          <w:color w:val="000000" w:themeColor="text1"/>
          <w:sz w:val="44"/>
          <w:szCs w:val="44"/>
          <w14:textFill>
            <w14:solidFill>
              <w14:schemeClr w14:val="tx1"/>
            </w14:solidFill>
          </w14:textFill>
        </w:rPr>
      </w:pPr>
      <w:r>
        <w:rPr>
          <w:rFonts w:hint="eastAsia" w:ascii="黑体" w:hAnsi="黑体" w:eastAsia="黑体" w:cstheme="minorEastAsia"/>
          <w:color w:val="000000" w:themeColor="text1"/>
          <w:sz w:val="44"/>
          <w:szCs w:val="44"/>
          <w14:textFill>
            <w14:solidFill>
              <w14:schemeClr w14:val="tx1"/>
            </w14:solidFill>
          </w14:textFill>
        </w:rPr>
        <w:t>20</w:t>
      </w:r>
      <w:r>
        <w:rPr>
          <w:rFonts w:hint="eastAsia" w:ascii="黑体" w:hAnsi="黑体" w:eastAsia="黑体" w:cstheme="minorEastAsia"/>
          <w:color w:val="000000" w:themeColor="text1"/>
          <w:sz w:val="44"/>
          <w:szCs w:val="44"/>
          <w:lang w:val="en-US" w:eastAsia="zh-CN"/>
          <w14:textFill>
            <w14:solidFill>
              <w14:schemeClr w14:val="tx1"/>
            </w14:solidFill>
          </w14:textFill>
        </w:rPr>
        <w:t>20</w:t>
      </w:r>
      <w:r>
        <w:rPr>
          <w:rFonts w:hint="eastAsia" w:ascii="黑体" w:hAnsi="黑体" w:eastAsia="黑体" w:cstheme="minorEastAsia"/>
          <w:color w:val="000000" w:themeColor="text1"/>
          <w:sz w:val="44"/>
          <w:szCs w:val="44"/>
          <w14:textFill>
            <w14:solidFill>
              <w14:schemeClr w14:val="tx1"/>
            </w14:solidFill>
          </w14:textFill>
        </w:rPr>
        <w:t>年部门</w:t>
      </w:r>
      <w:r>
        <w:rPr>
          <w:rFonts w:hint="eastAsia" w:ascii="黑体" w:hAnsi="黑体" w:eastAsia="黑体" w:cstheme="minorEastAsia"/>
          <w:color w:val="000000" w:themeColor="text1"/>
          <w:sz w:val="44"/>
          <w:szCs w:val="44"/>
          <w:lang w:eastAsia="zh-CN"/>
          <w14:textFill>
            <w14:solidFill>
              <w14:schemeClr w14:val="tx1"/>
            </w14:solidFill>
          </w14:textFill>
        </w:rPr>
        <w:t>预算</w:t>
      </w:r>
      <w:r>
        <w:rPr>
          <w:rFonts w:hint="eastAsia" w:ascii="黑体" w:hAnsi="黑体" w:eastAsia="黑体" w:cstheme="minorEastAsia"/>
          <w:color w:val="000000" w:themeColor="text1"/>
          <w:sz w:val="44"/>
          <w:szCs w:val="44"/>
          <w14:textFill>
            <w14:solidFill>
              <w14:schemeClr w14:val="tx1"/>
            </w14:solidFill>
          </w14:textFill>
        </w:rPr>
        <w:t>公开</w:t>
      </w:r>
      <w:r>
        <w:rPr>
          <w:rFonts w:hint="eastAsia" w:ascii="黑体" w:hAnsi="黑体" w:eastAsia="黑体" w:cstheme="minorEastAsia"/>
          <w:color w:val="000000" w:themeColor="text1"/>
          <w:sz w:val="44"/>
          <w:szCs w:val="44"/>
          <w:lang w:eastAsia="zh-CN"/>
          <w14:textFill>
            <w14:solidFill>
              <w14:schemeClr w14:val="tx1"/>
            </w14:solidFill>
          </w14:textFill>
        </w:rPr>
        <w:t>情况</w:t>
      </w:r>
      <w:r>
        <w:rPr>
          <w:rFonts w:hint="eastAsia" w:ascii="黑体" w:hAnsi="黑体" w:eastAsia="黑体" w:cstheme="minorEastAsia"/>
          <w:color w:val="000000" w:themeColor="text1"/>
          <w:sz w:val="44"/>
          <w:szCs w:val="44"/>
          <w14:textFill>
            <w14:solidFill>
              <w14:schemeClr w14:val="tx1"/>
            </w14:solidFill>
          </w14:textFill>
        </w:rPr>
        <w:t>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Theme="minorEastAsia" w:hAnsiTheme="minorEastAsia" w:cstheme="minorEastAsia"/>
          <w:color w:val="000000" w:themeColor="text1"/>
          <w:sz w:val="32"/>
          <w:szCs w:val="32"/>
          <w14:textFill>
            <w14:solidFill>
              <w14:schemeClr w14:val="tx1"/>
            </w14:solidFill>
          </w14:textFill>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1）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（2）制定并组织实施村镇建设规划，部署重点工程建</w:t>
      </w:r>
    </w:p>
    <w:p>
      <w:pPr>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设，地方道路建设及公共设施，水利设施的管理，负责土地、林木、水等自然资源和生态环境的保护，做好护林防火工作。</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3）负责本行政区域内的民政、计划生育、文化教育、卫生、体育等社会公益事业的综合性工作，维护一切经济单位和个人的正当经济权益，取缔非法经济活动，调解和处理民事纠纷，打击刑事犯罪维护社会稳定。</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（4）按计划组织本级财政收入和地方税的征收，完成国家财政计划，不断培植税源，管好财政资金，增强财政实力。</w:t>
      </w:r>
    </w:p>
    <w:p>
      <w:pPr>
        <w:ind w:firstLine="640"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（5）抓好精神文明建设，丰富群众文化生活，提倡移风易俗，反对封建迷信，破除陈规陋习，树立社会主义新风尚。</w:t>
      </w:r>
    </w:p>
    <w:p>
      <w:pPr>
        <w:ind w:firstLine="640" w:firstLineChars="200"/>
        <w:rPr>
          <w:rFonts w:hint="eastAsia" w:eastAsia="仿宋_GB2312"/>
          <w:color w:val="000000" w:themeColor="text1"/>
          <w:lang w:val="en-US" w:eastAsia="zh-CN"/>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（6）完成上级政府交办的其它</w:t>
      </w:r>
      <w:r>
        <w:rPr>
          <w:rFonts w:hint="eastAsia" w:ascii="仿宋_GB2312" w:hAnsi="仿宋" w:eastAsia="仿宋_GB2312" w:cs="仿宋"/>
          <w:color w:val="000000" w:themeColor="text1"/>
          <w:sz w:val="32"/>
          <w:szCs w:val="32"/>
          <w:lang w:eastAsia="zh-CN"/>
          <w14:textFill>
            <w14:solidFill>
              <w14:schemeClr w14:val="tx1"/>
            </w14:solidFill>
          </w14:textFill>
        </w:rPr>
        <w:t>事项。</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ind w:firstLine="640" w:firstLineChars="200"/>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_GB2312" w:hAnsi="仿宋" w:eastAsia="仿宋_GB2312" w:cs="仿宋"/>
          <w:color w:val="000000" w:themeColor="text1"/>
          <w:sz w:val="32"/>
          <w:szCs w:val="32"/>
          <w:lang w:eastAsia="zh-CN"/>
          <w14:textFill>
            <w14:solidFill>
              <w14:schemeClr w14:val="tx1"/>
            </w14:solidFill>
          </w14:textFill>
        </w:rPr>
        <w:t>善福乡</w:t>
      </w:r>
      <w:r>
        <w:rPr>
          <w:rFonts w:hint="eastAsia" w:ascii="仿宋_GB2312" w:hAnsi="仿宋" w:eastAsia="仿宋_GB2312" w:cs="仿宋"/>
          <w:color w:val="000000" w:themeColor="text1"/>
          <w:sz w:val="32"/>
          <w:szCs w:val="32"/>
          <w14:textFill>
            <w14:solidFill>
              <w14:schemeClr w14:val="tx1"/>
            </w14:solidFill>
          </w14:textFill>
        </w:rPr>
        <w:t>人民政府内设3个办公室：社会事务办公室、党政综合办公室、经济发展办公室；2个正股级事业单位：农村综合服务中心、民政工作服务中心；以及县财政局分管的事业单位</w:t>
      </w:r>
      <w:r>
        <w:rPr>
          <w:rFonts w:hint="eastAsia" w:ascii="仿宋_GB2312" w:hAnsi="仿宋" w:eastAsia="仿宋_GB2312" w:cs="仿宋"/>
          <w:color w:val="000000" w:themeColor="text1"/>
          <w:sz w:val="32"/>
          <w:szCs w:val="32"/>
          <w:lang w:eastAsia="zh-CN"/>
          <w14:textFill>
            <w14:solidFill>
              <w14:schemeClr w14:val="tx1"/>
            </w14:solidFill>
          </w14:textFill>
        </w:rPr>
        <w:t>善福乡</w:t>
      </w:r>
      <w:r>
        <w:rPr>
          <w:rFonts w:hint="eastAsia" w:ascii="仿宋_GB2312" w:hAnsi="仿宋" w:eastAsia="仿宋_GB2312" w:cs="仿宋"/>
          <w:color w:val="000000" w:themeColor="text1"/>
          <w:sz w:val="32"/>
          <w:szCs w:val="32"/>
          <w14:textFill>
            <w14:solidFill>
              <w14:schemeClr w14:val="tx1"/>
            </w14:solidFill>
          </w14:textFill>
        </w:rPr>
        <w:t>财政所</w:t>
      </w:r>
      <w:r>
        <w:rPr>
          <w:rFonts w:hint="eastAsia" w:ascii="仿宋_GB2312" w:hAnsi="仿宋" w:eastAsia="仿宋_GB2312" w:cs="仿宋"/>
          <w:color w:val="000000" w:themeColor="text1"/>
          <w:sz w:val="32"/>
          <w:szCs w:val="32"/>
          <w:lang w:eastAsia="zh-CN"/>
          <w14:textFill>
            <w14:solidFill>
              <w14:schemeClr w14:val="tx1"/>
            </w14:solidFill>
          </w14:textFill>
        </w:rPr>
        <w:t>。</w:t>
      </w: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  </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0"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仿宋" w:hAnsi="仿宋" w:eastAsia="仿宋" w:cs="仿宋_GB2312"/>
          <w:b w:val="0"/>
          <w:bCs w:val="0"/>
          <w:color w:val="000000" w:themeColor="text1"/>
          <w:kern w:val="2"/>
          <w:sz w:val="32"/>
          <w:szCs w:val="32"/>
          <w:highlight w:val="none"/>
          <w:lang w:val="en-US" w:eastAsia="zh-CN" w:bidi="ar"/>
          <w14:textFill>
            <w14:solidFill>
              <w14:schemeClr w14:val="tx1"/>
            </w14:solidFill>
          </w14:textFill>
        </w:rPr>
        <w:t>现有行政、事业编制33名，其中，行政编制19名，事业编制15名。实有33人，其中公务员17名，行政工勤1人，事业人员15名。</w:t>
      </w:r>
    </w:p>
    <w:p>
      <w:pPr>
        <w:ind w:firstLine="640" w:firstLineChars="200"/>
        <w:rPr>
          <w:rFonts w:hint="eastAsia" w:ascii="黑体" w:hAnsi="黑体" w:eastAsia="黑体" w:cstheme="minorEastAsia"/>
          <w:color w:val="000000" w:themeColor="text1"/>
          <w:sz w:val="32"/>
          <w:szCs w:val="32"/>
          <w:lang w:eastAsia="zh-CN"/>
          <w14:textFill>
            <w14:solidFill>
              <w14:schemeClr w14:val="tx1"/>
            </w14:solidFill>
          </w14:textFill>
        </w:rPr>
      </w:pPr>
      <w:r>
        <w:rPr>
          <w:rFonts w:hint="eastAsia" w:ascii="黑体" w:hAnsi="黑体" w:eastAsia="黑体" w:cstheme="minorEastAsia"/>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善福乡人民政府2020年度收入、支出预算总计1136.5万元，与上年相比收、支预算总计各增加215.17万元，增长23.35%。主要原因是人员增加和项目支出增减变动。其中：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（一）收入预算总计1136.5万元。包括：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1．财政拨款收入预算总计1136.5万元。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（1）一般公共预算收入预算1136.5万元，与上年相比增加215.17万元，增长23.35 %。主要原因是工资正常增长、等原因。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（2）政府性基金收入预算0万元，与上年相比增加（减少）0万元，增长（减少）0%。。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2．财政专户管理资金收入预算总计0万元。与上年相比增加（减少）0万元，增长（减少）0 %。主要原因是本年度无此项资金预算。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3．其他资金收入预算总计0万元。与上年相比增加（减少）0万元，增长（减少）0%。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4．上年结转资金预算数为0万元。与上年相比减少20万元，主要原因是结转资金被清理。</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（二）支出预算总计1136.5万元。包括：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1．一般公共服务（类）支出483.87万元，主要用于人员工资和业务费用支出。与上年相比增加109万元，增长29.07%。主要原因是人员增加和专项业务费用支出增加。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2．公共安全（类）支出0万元。与上年相比减少6.06万元，。主要原因是无此项预算。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此外，基本支出预算数为562.1万元。与上年相比增加182.14万元，增长47.94%。主要原因是一般公共服务支出、社会保障和就业支出、卫生健康支出增加。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项目支出预算数为574.4万元。与上年相比增加33.03万元，增长6.10%。主要原因是一般公共服务支出、社会保障和就业支出、卫生健康支出、节能环保支出增加。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单位预留机动经费预算数为0万元。与上年相比增加（减少）0万元，增长（减少）0%。主要原因是无此项资金预算。</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101.73万元，较2019年增加1.73万元，其中：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40.3万元</w:t>
      </w:r>
      <w:r>
        <w:rPr>
          <w:rFonts w:hint="eastAsia" w:ascii="仿宋_GB2312" w:eastAsia="仿宋_GB2312" w:hAnsiTheme="minorEastAsia" w:cstheme="minorEastAsia"/>
          <w:color w:val="000000" w:themeColor="text1"/>
          <w:sz w:val="32"/>
          <w:szCs w:val="32"/>
          <w14:textFill>
            <w14:solidFill>
              <w14:schemeClr w14:val="tx1"/>
            </w14:solidFill>
          </w14:textFill>
        </w:rPr>
        <w:t>、委托业务费</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35.6万元、公务用车运行维护费4万元、其他商品和服务支出14.93万元、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2.5万元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主要增减变化情况：增加财政所运行经费支出。</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5.9</w:t>
      </w:r>
      <w:r>
        <w:rPr>
          <w:rFonts w:hint="eastAsia" w:ascii="仿宋_GB2312" w:eastAsia="仿宋_GB2312" w:hAnsiTheme="minorEastAsia" w:cstheme="minorEastAsia"/>
          <w:color w:val="000000" w:themeColor="text1"/>
          <w:sz w:val="32"/>
          <w:szCs w:val="32"/>
          <w14:textFill>
            <w14:solidFill>
              <w14:schemeClr w14:val="tx1"/>
            </w14:solidFill>
          </w14:textFill>
        </w:rPr>
        <w:t>万元，其中：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政府采购办公设备</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5.9万元、</w:t>
      </w:r>
      <w:r>
        <w:rPr>
          <w:rFonts w:hint="eastAsia" w:ascii="仿宋_GB2312" w:eastAsia="仿宋_GB2312" w:hAnsiTheme="minorEastAsia" w:cstheme="minorEastAsia"/>
          <w:color w:val="000000" w:themeColor="text1"/>
          <w:sz w:val="32"/>
          <w:szCs w:val="32"/>
          <w14:textFill>
            <w14:solidFill>
              <w14:schemeClr w14:val="tx1"/>
            </w14:solidFill>
          </w14:textFill>
        </w:rPr>
        <w:t>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3831.89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3405.83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309.78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0.55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259.17</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2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2.2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万元，单价200万元以上大型设备价值</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47.86</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与上年相比，本年资产总额增加</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9.96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我单位本年度项目支出 596.88 万元，其中：重点项目有三类人员生物质取暖项目补贴8.64万元、用于解决低保户、五保户、贫困人口冬季取暖，确保此类人员温暖过冬；治理善福村煤矸石自燃项目55.9万元，为解除善福村煤矸石自燃隐患，將此隐患地点进行了填平，修建活动场所，用于丰富村民文化生活；生物质锅炉燃料政府采购资金27.6万元，为降低空气污染，达到节能减排，购买生物质燃料缓解村民过冬压力；“散乱污”企业取缔项目14.7万元；2019年乡村森林绿化项目146.9万元，用于路家沟、上丰、贾垴、善福等10各村的乡村森林绿化，极大的改善了人居环境，加快了美丽乡村建设进程</w:t>
      </w:r>
      <w:bookmarkStart w:id="0" w:name="_GoBack"/>
      <w:bookmarkEnd w:id="0"/>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w:t>
      </w:r>
      <w:r>
        <w:rPr>
          <w:rFonts w:hint="eastAsia" w:ascii="仿宋_GB2312" w:eastAsia="仿宋_GB2312" w:hAnsiTheme="minorEastAsia" w:cstheme="minorEastAsia"/>
          <w:color w:val="000000" w:themeColor="text1"/>
          <w:sz w:val="32"/>
          <w:szCs w:val="32"/>
          <w14:textFill>
            <w14:solidFill>
              <w14:schemeClr w14:val="tx1"/>
            </w14:solidFill>
          </w14:textFill>
        </w:rPr>
        <w:t>万元，其中公务用车购置年初预算数为0万元，较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w:t>
      </w:r>
      <w:r>
        <w:rPr>
          <w:rFonts w:hint="eastAsia" w:ascii="仿宋_GB2312" w:eastAsia="仿宋_GB2312" w:hAnsiTheme="minorEastAsia" w:cstheme="minorEastAsia"/>
          <w:color w:val="000000" w:themeColor="text1"/>
          <w:sz w:val="32"/>
          <w:szCs w:val="32"/>
          <w14:textFill>
            <w14:solidFill>
              <w14:schemeClr w14:val="tx1"/>
            </w14:solidFill>
          </w14:textFill>
        </w:rPr>
        <w:t>万元，较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0辆，公务用车保有量2辆。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072256"/>
    <w:rsid w:val="0C5A5250"/>
    <w:rsid w:val="0C64513E"/>
    <w:rsid w:val="0DE649EC"/>
    <w:rsid w:val="0EE25EB1"/>
    <w:rsid w:val="0FB151B1"/>
    <w:rsid w:val="10CB3E8D"/>
    <w:rsid w:val="11F35FF2"/>
    <w:rsid w:val="168C31DA"/>
    <w:rsid w:val="179A58B8"/>
    <w:rsid w:val="1B4A6025"/>
    <w:rsid w:val="1D7E6AA9"/>
    <w:rsid w:val="1DC75B64"/>
    <w:rsid w:val="1DF453AF"/>
    <w:rsid w:val="1E107510"/>
    <w:rsid w:val="1E643EFE"/>
    <w:rsid w:val="209E0EC3"/>
    <w:rsid w:val="21D337D7"/>
    <w:rsid w:val="22140CC1"/>
    <w:rsid w:val="24D63713"/>
    <w:rsid w:val="282C7B4F"/>
    <w:rsid w:val="287E6EB2"/>
    <w:rsid w:val="2A937DAC"/>
    <w:rsid w:val="2DB60033"/>
    <w:rsid w:val="2F754CA8"/>
    <w:rsid w:val="2FB928F6"/>
    <w:rsid w:val="30C527DF"/>
    <w:rsid w:val="341824CB"/>
    <w:rsid w:val="343F3937"/>
    <w:rsid w:val="34D53928"/>
    <w:rsid w:val="36870474"/>
    <w:rsid w:val="37015ED3"/>
    <w:rsid w:val="38EF4D42"/>
    <w:rsid w:val="39E01B38"/>
    <w:rsid w:val="3F5C42DA"/>
    <w:rsid w:val="43E475B8"/>
    <w:rsid w:val="458B37F5"/>
    <w:rsid w:val="467D2DBE"/>
    <w:rsid w:val="48832669"/>
    <w:rsid w:val="48E87EB6"/>
    <w:rsid w:val="4A4F3891"/>
    <w:rsid w:val="4A843140"/>
    <w:rsid w:val="4AFA4BB2"/>
    <w:rsid w:val="4C3D2E99"/>
    <w:rsid w:val="4D9B3CEE"/>
    <w:rsid w:val="4EBA5260"/>
    <w:rsid w:val="522F50B0"/>
    <w:rsid w:val="52567629"/>
    <w:rsid w:val="5388209D"/>
    <w:rsid w:val="54E16EA3"/>
    <w:rsid w:val="582B68F4"/>
    <w:rsid w:val="5B3B57E3"/>
    <w:rsid w:val="5D083F24"/>
    <w:rsid w:val="5D306324"/>
    <w:rsid w:val="5E0B45F3"/>
    <w:rsid w:val="60860A87"/>
    <w:rsid w:val="60B46440"/>
    <w:rsid w:val="61C6166E"/>
    <w:rsid w:val="635C762A"/>
    <w:rsid w:val="6FD93AE0"/>
    <w:rsid w:val="71715484"/>
    <w:rsid w:val="71FC58C7"/>
    <w:rsid w:val="7249546B"/>
    <w:rsid w:val="729F0AAD"/>
    <w:rsid w:val="733C16F3"/>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24</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2021-06-03T10:06:49Z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