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sz w:val="44"/>
          <w:szCs w:val="44"/>
          <w:lang w:eastAsia="zh-CN"/>
        </w:rPr>
      </w:pPr>
    </w:p>
    <w:p>
      <w:pPr>
        <w:jc w:val="center"/>
        <w:rPr>
          <w:rFonts w:hint="eastAsia" w:ascii="黑体" w:hAnsi="黑体" w:eastAsia="黑体" w:cstheme="minorEastAsia"/>
          <w:sz w:val="44"/>
          <w:szCs w:val="44"/>
          <w:lang w:val="en-US" w:eastAsia="zh-CN"/>
        </w:rPr>
      </w:pPr>
      <w:r>
        <w:rPr>
          <w:rFonts w:hint="eastAsia" w:ascii="黑体" w:hAnsi="黑体" w:eastAsia="黑体" w:cstheme="minorEastAsia"/>
          <w:sz w:val="44"/>
          <w:szCs w:val="44"/>
          <w:lang w:eastAsia="zh-CN"/>
        </w:rPr>
        <w:t>襄垣</w:t>
      </w:r>
      <w:r>
        <w:rPr>
          <w:rFonts w:hint="eastAsia" w:ascii="黑体" w:hAnsi="黑体" w:eastAsia="黑体" w:cstheme="minorEastAsia"/>
          <w:sz w:val="44"/>
          <w:szCs w:val="44"/>
        </w:rPr>
        <w:t>县</w:t>
      </w:r>
      <w:r>
        <w:rPr>
          <w:rFonts w:hint="eastAsia" w:ascii="黑体" w:hAnsi="黑体" w:eastAsia="黑体" w:cstheme="minorEastAsia"/>
          <w:sz w:val="44"/>
          <w:szCs w:val="44"/>
          <w:lang w:eastAsia="zh-CN"/>
        </w:rPr>
        <w:t>王村镇人民政府</w:t>
      </w:r>
    </w:p>
    <w:p>
      <w:pPr>
        <w:jc w:val="center"/>
        <w:rPr>
          <w:rFonts w:ascii="黑体" w:hAnsi="黑体" w:eastAsia="黑体" w:cstheme="minorEastAsia"/>
          <w:sz w:val="44"/>
          <w:szCs w:val="44"/>
        </w:rPr>
      </w:pPr>
      <w:r>
        <w:rPr>
          <w:rFonts w:hint="eastAsia" w:ascii="黑体" w:hAnsi="黑体" w:eastAsia="黑体" w:cstheme="minorEastAsia"/>
          <w:sz w:val="44"/>
          <w:szCs w:val="44"/>
        </w:rPr>
        <w:t>20</w:t>
      </w:r>
      <w:r>
        <w:rPr>
          <w:rFonts w:hint="eastAsia" w:ascii="黑体" w:hAnsi="黑体" w:eastAsia="黑体" w:cstheme="minorEastAsia"/>
          <w:sz w:val="44"/>
          <w:szCs w:val="44"/>
          <w:lang w:val="en-US" w:eastAsia="zh-CN"/>
        </w:rPr>
        <w:t>20</w:t>
      </w:r>
      <w:r>
        <w:rPr>
          <w:rFonts w:hint="eastAsia" w:ascii="黑体" w:hAnsi="黑体" w:eastAsia="黑体" w:cstheme="minorEastAsia"/>
          <w:sz w:val="44"/>
          <w:szCs w:val="44"/>
        </w:rPr>
        <w:t>年部门</w:t>
      </w:r>
      <w:r>
        <w:rPr>
          <w:rFonts w:hint="eastAsia" w:ascii="黑体" w:hAnsi="黑体" w:eastAsia="黑体" w:cstheme="minorEastAsia"/>
          <w:sz w:val="44"/>
          <w:szCs w:val="44"/>
          <w:lang w:eastAsia="zh-CN"/>
        </w:rPr>
        <w:t>预算</w:t>
      </w:r>
      <w:r>
        <w:rPr>
          <w:rFonts w:hint="eastAsia" w:ascii="黑体" w:hAnsi="黑体" w:eastAsia="黑体" w:cstheme="minorEastAsia"/>
          <w:sz w:val="44"/>
          <w:szCs w:val="44"/>
        </w:rPr>
        <w:t>公开</w:t>
      </w:r>
      <w:r>
        <w:rPr>
          <w:rFonts w:hint="eastAsia" w:ascii="黑体" w:hAnsi="黑体" w:eastAsia="黑体" w:cstheme="minorEastAsia"/>
          <w:sz w:val="44"/>
          <w:szCs w:val="44"/>
          <w:lang w:eastAsia="zh-CN"/>
        </w:rPr>
        <w:t>情况</w:t>
      </w:r>
      <w:r>
        <w:rPr>
          <w:rFonts w:hint="eastAsia" w:ascii="黑体" w:hAnsi="黑体" w:eastAsia="黑体" w:cstheme="minorEastAsia"/>
          <w:sz w:val="44"/>
          <w:szCs w:val="44"/>
        </w:rPr>
        <w:t>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ind w:firstLine="643" w:firstLineChars="200"/>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一、部门主要职能</w:t>
      </w:r>
    </w:p>
    <w:p>
      <w:pPr>
        <w:ind w:firstLine="643" w:firstLineChars="200"/>
        <w:jc w:val="left"/>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1.主要职能</w:t>
      </w:r>
    </w:p>
    <w:p>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促进经济发展，增加农民收入。科学制定乡村发展规划，推动产业结构调整，根据本地产业优势，培育壮大本地支柱产业；营造良好的发展环境、扶持典型、示范引导，提高经济发展的质量和水平；加强农村基础设施建设和新型农村服务体系建设，落实强农惠农措施，促进农业发展，增加农民收入；大力发展民营经济，增强农村集体经济实力，培育和发展农村经济合作组织、经济实体、行业协会和中介组织，实现经济合作组织全覆盖，尊重农民的生产经营自主权，提高农民的自我发展能力；搞好农业新技术示范，促进农业新技术推广；搞好政策、信息咨询服务工作，及时为农民提供产、供、销等市场信息。</w:t>
      </w:r>
    </w:p>
    <w:p>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强化公共服务，着力改善民生。拓宽服务渠道，改进服务方式，通过“一站式”服务、办事代理制等多种形式，方便群众办事；推进依法行政，严格依法履行职责；推行行政机关首问办理负责制度，强化责任意识；着力解决群众生产生活中的突出问题，切实维护农民合法权益 ；加强农村市场体系建设，增强市场服务能力；加强农田水利基本建设，增强农业抗御自然灾害的能力；加强基础设施建设，改善农民生产生活环境；搞好科技、信息服务，提高农民运用现代信息技术水平；加强对农村劳动力的职业技能培训，发布劳务信息 ，搞好劳务输出，扩大农村劳动力就业；做好农村社会保障工作，扩大农村新型合作医疗覆盖面，做好烈军属、五保户养老金的社会化发放和申领资格认证，解除农民后顾之忧；做好育龄妇女普查和生殖健康检查；保证粮食直补、农资直补等各项惠农政策落实到户。</w:t>
      </w:r>
    </w:p>
    <w:p>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加强社会管理，维护农村稳定。抓好农村思想政治建设和精神文明建设，加强农村教育、卫生、文化、体育、环境保护等社会事业的管理，促进经济社会的健康、和谐、可持续发展；加强计划生育管理，确保基本国策各项工作落到实处；加强安全生产管理，做好各项安全生产的监督检查 、隐患排查，落实安全生产责任制；加强社会治安综合治理，综合发挥人民调解、行政调解和司法调解的作用，及时化解农村社会矛盾，消除社会不稳定因素，实现农村维稳组织的全面覆盖；协助司法机关打击各类刑事犯罪活动，妥善处理突发性、群体性事件，确保人民群众生命财产安全；切实解决好农村征地、集体资产管理等方面损害农民利益的突出问题，确保社会稳定；指导村民自治，积极稳妥有序推进农村新民居建设，促进社会组织健康发展，增强社会自治功能，完善村规民约，深化农村平安创建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推进基层民主，促进农村和谐。坚持党的领导，保障农民群众的选举权；加强基层党的组织和基层民主组织全覆盖工作，健全完善村党组织领导的充满活力的村民自治机制，保障村民的参与权；健全村务公开制度，保障农民群众的知情权；规范民主决策机制，拓宽村民民主参与村级事务的渠道，调动村民群众参与村级事务的积极性，保证村民的决策权；强化村务管理的监督制约机制，保障农民群众的监督权；着力解决群众生产生活中的突出问题，切实维护农民合法权益；创新方法，不断深化基层民主管理内涵，着力解决基层民主管理中的薄弱问题，进一步密切党群干群关系、巩固党的执政基础，促进和谐社会建设。</w:t>
      </w:r>
    </w:p>
    <w:p>
      <w:pPr>
        <w:ind w:firstLine="643" w:firstLineChars="200"/>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二、部门基本情况</w:t>
      </w:r>
    </w:p>
    <w:p>
      <w:pPr>
        <w:widowControl/>
        <w:spacing w:line="324" w:lineRule="atLeast"/>
        <w:ind w:left="540"/>
        <w:jc w:val="left"/>
        <w:rPr>
          <w:rFonts w:hint="eastAsia" w:ascii="仿宋_GB2312" w:hAnsi="仿宋_GB2312" w:eastAsia="仿宋_GB2312" w:cs="仿宋_GB2312"/>
          <w:b w:val="0"/>
          <w:bCs/>
          <w:color w:val="333333"/>
          <w:kern w:val="0"/>
          <w:sz w:val="32"/>
          <w:szCs w:val="32"/>
          <w:lang w:eastAsia="zh-CN"/>
        </w:rPr>
      </w:pPr>
      <w:r>
        <w:rPr>
          <w:rFonts w:hint="eastAsia" w:ascii="仿宋_GB2312" w:hAnsi="仿宋_GB2312" w:eastAsia="仿宋_GB2312" w:cs="仿宋_GB2312"/>
          <w:b w:val="0"/>
          <w:bCs/>
          <w:color w:val="333333"/>
          <w:kern w:val="0"/>
          <w:sz w:val="32"/>
          <w:szCs w:val="32"/>
        </w:rPr>
        <w:t>（一）</w:t>
      </w:r>
      <w:r>
        <w:rPr>
          <w:rFonts w:hint="eastAsia" w:ascii="仿宋_GB2312" w:hAnsi="仿宋_GB2312" w:eastAsia="仿宋_GB2312" w:cs="仿宋_GB2312"/>
          <w:b w:val="0"/>
          <w:bCs/>
          <w:color w:val="333333"/>
          <w:kern w:val="0"/>
          <w:sz w:val="32"/>
          <w:szCs w:val="32"/>
          <w:lang w:eastAsia="zh-CN"/>
        </w:rPr>
        <w:t>机构设置情况</w:t>
      </w:r>
    </w:p>
    <w:p>
      <w:pPr>
        <w:ind w:firstLine="645"/>
        <w:rPr>
          <w:rFonts w:hint="eastAsia" w:ascii="仿宋_GB2312" w:hAnsi="仿宋_GB2312" w:eastAsia="仿宋_GB2312" w:cs="仿宋_GB2312"/>
          <w:color w:val="5B9BD5" w:themeColor="accent1"/>
          <w:kern w:val="2"/>
          <w:sz w:val="32"/>
          <w:szCs w:val="32"/>
          <w:lang w:val="en-US" w:eastAsia="zh-CN" w:bidi="ar"/>
          <w14:textFill>
            <w14:solidFill>
              <w14:schemeClr w14:val="accent1"/>
            </w14:solidFill>
          </w14:textFill>
        </w:rPr>
      </w:pPr>
      <w:r>
        <w:rPr>
          <w:rFonts w:hint="eastAsia" w:ascii="仿宋_GB2312" w:hAnsi="仿宋_GB2312" w:eastAsia="仿宋_GB2312" w:cs="仿宋_GB2312"/>
          <w:sz w:val="32"/>
          <w:szCs w:val="32"/>
        </w:rPr>
        <w:t>襄垣县王村镇人民政府，机构规格正科级</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000000" w:themeColor="text1"/>
          <w:sz w:val="32"/>
          <w:szCs w:val="32"/>
          <w14:textFill>
            <w14:solidFill>
              <w14:schemeClr w14:val="tx1"/>
            </w14:solidFill>
          </w14:textFill>
        </w:rPr>
        <w:t>内设党政综合办公室、农村综合服务中心、民政工作服务中心。</w:t>
      </w:r>
      <w:r>
        <w:rPr>
          <w:rFonts w:hint="eastAsia" w:ascii="仿宋_GB2312" w:hAnsi="仿宋_GB2312" w:eastAsia="仿宋_GB2312" w:cs="仿宋_GB2312"/>
          <w:color w:val="5B9BD5" w:themeColor="accent1"/>
          <w:kern w:val="2"/>
          <w:sz w:val="32"/>
          <w:szCs w:val="32"/>
          <w:lang w:val="en-US" w:eastAsia="zh-CN" w:bidi="ar"/>
          <w14:textFill>
            <w14:solidFill>
              <w14:schemeClr w14:val="accent1"/>
            </w14:solidFill>
          </w14:textFill>
        </w:rPr>
        <w:t xml:space="preserve">  </w:t>
      </w:r>
    </w:p>
    <w:p>
      <w:pPr>
        <w:widowControl/>
        <w:spacing w:line="324" w:lineRule="atLeast"/>
        <w:ind w:left="540"/>
        <w:jc w:val="left"/>
        <w:rPr>
          <w:rFonts w:hint="eastAsia" w:ascii="仿宋_GB2312" w:hAnsi="仿宋_GB2312" w:eastAsia="仿宋_GB2312" w:cs="仿宋_GB2312"/>
          <w:b w:val="0"/>
          <w:bCs/>
          <w:color w:val="333333"/>
          <w:kern w:val="0"/>
          <w:sz w:val="32"/>
          <w:szCs w:val="32"/>
        </w:rPr>
      </w:pPr>
      <w:r>
        <w:rPr>
          <w:rFonts w:hint="eastAsia" w:ascii="仿宋_GB2312" w:hAnsi="仿宋_GB2312" w:eastAsia="仿宋_GB2312" w:cs="仿宋_GB2312"/>
          <w:b w:val="0"/>
          <w:bCs/>
          <w:color w:val="333333"/>
          <w:kern w:val="0"/>
          <w:sz w:val="32"/>
          <w:szCs w:val="32"/>
        </w:rPr>
        <w:t>（二）人员情况说明</w:t>
      </w:r>
    </w:p>
    <w:p>
      <w:pPr>
        <w:ind w:firstLine="645"/>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kern w:val="2"/>
          <w:sz w:val="32"/>
          <w:szCs w:val="32"/>
          <w:lang w:val="en-US" w:eastAsia="zh-CN" w:bidi="ar"/>
          <w14:textFill>
            <w14:solidFill>
              <w14:schemeClr w14:val="tx1"/>
            </w14:solidFill>
          </w14:textFill>
        </w:rPr>
        <w:t>现有行政、事业编制36名，其中，行政编制23名，事业编制13名。实有29</w:t>
      </w:r>
      <w:bookmarkStart w:id="0" w:name="_GoBack"/>
      <w:bookmarkEnd w:id="0"/>
      <w:r>
        <w:rPr>
          <w:rFonts w:hint="eastAsia" w:ascii="仿宋_GB2312" w:hAnsi="仿宋_GB2312" w:eastAsia="仿宋_GB2312" w:cs="仿宋_GB2312"/>
          <w:b w:val="0"/>
          <w:bCs w:val="0"/>
          <w:color w:val="000000" w:themeColor="text1"/>
          <w:kern w:val="2"/>
          <w:sz w:val="32"/>
          <w:szCs w:val="32"/>
          <w:lang w:val="en-US" w:eastAsia="zh-CN" w:bidi="ar"/>
          <w14:textFill>
            <w14:solidFill>
              <w14:schemeClr w14:val="tx1"/>
            </w14:solidFill>
          </w14:textFill>
        </w:rPr>
        <w:t>人，其中公务员19名，行政工勤0人，事业人员9名，其他1人。</w:t>
      </w:r>
    </w:p>
    <w:p>
      <w:pPr>
        <w:ind w:firstLine="640" w:firstLineChars="200"/>
        <w:rPr>
          <w:rFonts w:hint="eastAsia" w:ascii="仿宋_GB2312" w:hAnsi="仿宋_GB2312" w:eastAsia="仿宋_GB2312" w:cs="仿宋_GB2312"/>
          <w:color w:val="C00000"/>
          <w:sz w:val="32"/>
          <w:szCs w:val="32"/>
          <w:lang w:eastAsia="zh-CN"/>
        </w:rPr>
      </w:pPr>
      <w:r>
        <w:rPr>
          <w:rFonts w:hint="eastAsia" w:ascii="仿宋_GB2312" w:hAnsi="仿宋_GB2312" w:eastAsia="仿宋_GB2312" w:cs="仿宋_GB2312"/>
          <w:sz w:val="32"/>
          <w:szCs w:val="32"/>
          <w:lang w:eastAsia="zh-CN"/>
        </w:rPr>
        <w:t>三、预算收支增减变化情况说明</w:t>
      </w:r>
    </w:p>
    <w:p>
      <w:pPr>
        <w:ind w:firstLine="645"/>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t>王村镇人民政府2020年度收入、支出预算总计495.9万元，与上年相比收、支预算总计各增加138.19万元，增长38.63%。主要原因是工资变动。其中：</w:t>
      </w:r>
    </w:p>
    <w:p>
      <w:pPr>
        <w:ind w:firstLine="645"/>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t>（一）收入预算总计495.9万元。包括：</w:t>
      </w:r>
    </w:p>
    <w:p>
      <w:pPr>
        <w:ind w:firstLine="645"/>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t>1．财政拨款收入预算总计495.9万元。</w:t>
      </w:r>
    </w:p>
    <w:p>
      <w:pPr>
        <w:ind w:firstLine="645"/>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t>（1）一般公共预算收入预算495.9万元，与上年相比增加138.19万元，增长38.63%。主要原因是工资变动等原因。</w:t>
      </w:r>
    </w:p>
    <w:p>
      <w:pPr>
        <w:ind w:firstLine="645"/>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t>（2）政府性基金收入预算0万元，与上年相比无变动。</w:t>
      </w:r>
    </w:p>
    <w:p>
      <w:pPr>
        <w:ind w:firstLine="645"/>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t>2．财政专户管理资金收入预算总计0万元。与上年相比无变动。主要原因是本单位无此项预算，故无此项说明情况。</w:t>
      </w:r>
    </w:p>
    <w:p>
      <w:pPr>
        <w:ind w:firstLine="645"/>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t>3．其他资金收入预算总计0万元。与上年相比无变动。主要原因是本单位无此项预算，故无此项说明情况。</w:t>
      </w:r>
    </w:p>
    <w:p>
      <w:pPr>
        <w:ind w:firstLine="645"/>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t>4．上年结转资金预算数为0万元。与上年相比无变动。主要原因是本单位无此项预算，故无此项说明情况。</w:t>
      </w:r>
    </w:p>
    <w:p>
      <w:pPr>
        <w:ind w:firstLine="645"/>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t>（二）支出预算总计495.9万元。包括：</w:t>
      </w:r>
    </w:p>
    <w:p>
      <w:pPr>
        <w:ind w:firstLine="645"/>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t>1．一般公共服务（类）支出393.44万元，主要用于人员工资及运行。与上年相比增加112.27万元，增长39.93%。主要原因是</w:t>
      </w:r>
      <w:r>
        <w:rPr>
          <w:rFonts w:hint="eastAsia" w:ascii="仿宋_GB2312" w:hAnsi="仿宋_GB2312" w:eastAsia="仿宋_GB2312" w:cs="仿宋_GB2312"/>
          <w:color w:val="000000" w:themeColor="text1"/>
          <w:sz w:val="32"/>
          <w:szCs w:val="32"/>
          <w14:textFill>
            <w14:solidFill>
              <w14:schemeClr w14:val="tx1"/>
            </w14:solidFill>
          </w14:textFill>
        </w:rPr>
        <w:t>人员变动</w:t>
      </w:r>
      <w:r>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t>。</w:t>
      </w:r>
    </w:p>
    <w:p>
      <w:pPr>
        <w:ind w:firstLine="645"/>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t>2．公共安全（类）支出0万元，与上年相比无变化。</w:t>
      </w:r>
    </w:p>
    <w:p>
      <w:pPr>
        <w:ind w:firstLine="645"/>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t>3．结转下年资金预算数为0万元</w:t>
      </w:r>
    </w:p>
    <w:p>
      <w:pPr>
        <w:ind w:firstLine="645"/>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t>此外，基本支出预算数为495.9万元。与上年相比增加112.27万元，增长39.93%。主要原因是</w:t>
      </w:r>
      <w:r>
        <w:rPr>
          <w:rFonts w:hint="eastAsia" w:ascii="仿宋_GB2312" w:hAnsi="仿宋_GB2312" w:eastAsia="仿宋_GB2312" w:cs="仿宋_GB2312"/>
          <w:color w:val="000000" w:themeColor="text1"/>
          <w:sz w:val="32"/>
          <w:szCs w:val="32"/>
          <w14:textFill>
            <w14:solidFill>
              <w14:schemeClr w14:val="tx1"/>
            </w14:solidFill>
          </w14:textFill>
        </w:rPr>
        <w:t>工资变动</w:t>
      </w:r>
      <w:r>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t>。</w:t>
      </w:r>
    </w:p>
    <w:p>
      <w:pPr>
        <w:ind w:firstLine="645"/>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t>项目支出预算数为0万元。与上年相比无变动。</w:t>
      </w:r>
    </w:p>
    <w:p>
      <w:pPr>
        <w:ind w:firstLine="645"/>
        <w:rPr>
          <w:rFonts w:hint="eastAsia" w:ascii="仿宋_GB2312" w:hAnsi="仿宋_GB2312" w:eastAsia="仿宋_GB2312" w:cs="仿宋_GB2312"/>
          <w:color w:val="5B9BD5" w:themeColor="accent1"/>
          <w:sz w:val="32"/>
          <w:szCs w:val="32"/>
          <w14:textFill>
            <w14:solidFill>
              <w14:schemeClr w14:val="accent1"/>
            </w14:solidFill>
          </w14:textFill>
        </w:rPr>
      </w:pPr>
      <w:r>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t>单位预留机动经费预算数为0万元。与上年相比</w:t>
      </w:r>
      <w:r>
        <w:rPr>
          <w:rFonts w:hint="eastAsia" w:ascii="仿宋_GB2312" w:hAnsi="仿宋_GB2312" w:eastAsia="仿宋_GB2312" w:cs="仿宋_GB2312"/>
          <w:color w:val="000000" w:themeColor="text1"/>
          <w:sz w:val="32"/>
          <w:szCs w:val="32"/>
          <w14:textFill>
            <w14:solidFill>
              <w14:schemeClr w14:val="tx1"/>
            </w14:solidFill>
          </w14:textFill>
        </w:rPr>
        <w:t>与上年相比无变动</w:t>
      </w:r>
      <w:r>
        <w:rPr>
          <w:rFonts w:hint="eastAsia" w:ascii="仿宋_GB2312" w:hAnsi="仿宋_GB2312" w:eastAsia="仿宋_GB2312" w:cs="仿宋_GB2312"/>
          <w:color w:val="5B9BD5" w:themeColor="accent1"/>
          <w:kern w:val="2"/>
          <w:sz w:val="32"/>
          <w:szCs w:val="32"/>
          <w:lang w:val="en-US" w:eastAsia="zh-CN" w:bidi="ar"/>
          <w14:textFill>
            <w14:solidFill>
              <w14:schemeClr w14:val="accent1"/>
            </w14:solidFill>
          </w14:textFill>
        </w:rPr>
        <w:t>。</w:t>
      </w:r>
    </w:p>
    <w:p>
      <w:pPr>
        <w:ind w:firstLine="640" w:firstLineChars="200"/>
        <w:rPr>
          <w:rFonts w:hint="eastAsia" w:ascii="仿宋_GB2312" w:hAnsi="仿宋_GB2312" w:eastAsia="仿宋_GB2312" w:cs="仿宋_GB2312"/>
          <w:b w:val="0"/>
          <w:bCs/>
          <w:sz w:val="32"/>
          <w:szCs w:val="32"/>
          <w:lang w:eastAsia="zh-CN"/>
        </w:rPr>
      </w:pPr>
      <w:r>
        <w:rPr>
          <w:rFonts w:hint="eastAsia" w:ascii="仿宋_GB2312" w:hAnsi="仿宋_GB2312" w:eastAsia="仿宋_GB2312" w:cs="仿宋_GB2312"/>
          <w:b w:val="0"/>
          <w:bCs/>
          <w:sz w:val="32"/>
          <w:szCs w:val="32"/>
          <w:lang w:eastAsia="zh-CN"/>
        </w:rPr>
        <w:t>四</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lang w:eastAsia="zh-CN"/>
        </w:rPr>
        <w:t>机关运行经费安排情况说明</w:t>
      </w:r>
    </w:p>
    <w:p>
      <w:pPr>
        <w:ind w:firstLine="640" w:firstLineChars="200"/>
        <w:rPr>
          <w:rFonts w:hint="eastAsia" w:ascii="仿宋_GB2312" w:hAnsi="仿宋_GB2312" w:eastAsia="仿宋_GB2312" w:cs="仿宋_GB2312"/>
          <w:color w:val="5B9BD5" w:themeColor="accent1"/>
          <w:sz w:val="32"/>
          <w:szCs w:val="32"/>
          <w:lang w:eastAsia="zh-CN"/>
          <w14:textFill>
            <w14:solidFill>
              <w14:schemeClr w14:val="accent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本单位</w:t>
      </w:r>
      <w:r>
        <w:rPr>
          <w:rFonts w:hint="eastAsia" w:ascii="仿宋_GB2312" w:hAnsi="仿宋_GB2312" w:eastAsia="仿宋_GB2312" w:cs="仿宋_GB2312"/>
          <w:color w:val="000000" w:themeColor="text1"/>
          <w:sz w:val="32"/>
          <w:szCs w:val="32"/>
          <w14:textFill>
            <w14:solidFill>
              <w14:schemeClr w14:val="tx1"/>
            </w14:solidFill>
          </w14:textFill>
        </w:rPr>
        <w:t>机关运行经费</w:t>
      </w:r>
      <w:r>
        <w:rPr>
          <w:rFonts w:hint="eastAsia" w:ascii="仿宋_GB2312" w:hAnsi="仿宋_GB2312" w:eastAsia="仿宋_GB2312" w:cs="仿宋_GB2312"/>
          <w:color w:val="000000" w:themeColor="text1"/>
          <w:sz w:val="32"/>
          <w:szCs w:val="32"/>
          <w:lang w:eastAsia="zh-CN"/>
          <w14:textFill>
            <w14:solidFill>
              <w14:schemeClr w14:val="tx1"/>
            </w14:solidFill>
          </w14:textFill>
        </w:rPr>
        <w:t>支出预算数为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104.48万元，较2019年减少5万元，其中：</w:t>
      </w:r>
      <w:r>
        <w:rPr>
          <w:rFonts w:hint="eastAsia" w:ascii="仿宋_GB2312" w:hAnsi="仿宋_GB2312" w:eastAsia="仿宋_GB2312" w:cs="仿宋_GB2312"/>
          <w:color w:val="000000" w:themeColor="text1"/>
          <w:sz w:val="32"/>
          <w:szCs w:val="32"/>
          <w14:textFill>
            <w14:solidFill>
              <w14:schemeClr w14:val="tx1"/>
            </w14:solidFill>
          </w14:textFill>
        </w:rPr>
        <w:t>办公费</w:t>
      </w:r>
      <w:r>
        <w:rPr>
          <w:rFonts w:hint="eastAsia" w:ascii="仿宋_GB2312" w:hAnsi="仿宋_GB2312" w:eastAsia="仿宋_GB2312" w:cs="仿宋_GB2312"/>
          <w:color w:val="000000" w:themeColor="text1"/>
          <w:sz w:val="32"/>
          <w:szCs w:val="32"/>
          <w:lang w:eastAsia="zh-CN"/>
          <w14:textFill>
            <w14:solidFill>
              <w14:schemeClr w14:val="tx1"/>
            </w14:solidFill>
          </w14:textFill>
        </w:rPr>
        <w:t>支出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53.69万元</w:t>
      </w:r>
      <w:r>
        <w:rPr>
          <w:rFonts w:hint="eastAsia" w:ascii="仿宋_GB2312" w:hAnsi="仿宋_GB2312" w:eastAsia="仿宋_GB2312" w:cs="仿宋_GB2312"/>
          <w:color w:val="000000" w:themeColor="text1"/>
          <w:sz w:val="32"/>
          <w:szCs w:val="32"/>
          <w14:textFill>
            <w14:solidFill>
              <w14:schemeClr w14:val="tx1"/>
            </w14:solidFill>
          </w14:textFill>
        </w:rPr>
        <w:t>、印刷费</w:t>
      </w:r>
      <w:r>
        <w:rPr>
          <w:rFonts w:hint="eastAsia" w:ascii="仿宋_GB2312" w:hAnsi="仿宋_GB2312" w:eastAsia="仿宋_GB2312" w:cs="仿宋_GB2312"/>
          <w:color w:val="000000" w:themeColor="text1"/>
          <w:sz w:val="32"/>
          <w:szCs w:val="32"/>
          <w:lang w:eastAsia="zh-CN"/>
          <w14:textFill>
            <w14:solidFill>
              <w14:schemeClr w14:val="tx1"/>
            </w14:solidFill>
          </w14:textFill>
        </w:rPr>
        <w:t>支出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0.12万元</w:t>
      </w:r>
      <w:r>
        <w:rPr>
          <w:rFonts w:hint="eastAsia" w:ascii="仿宋_GB2312" w:hAnsi="仿宋_GB2312" w:eastAsia="仿宋_GB2312" w:cs="仿宋_GB2312"/>
          <w:color w:val="000000" w:themeColor="text1"/>
          <w:sz w:val="32"/>
          <w:szCs w:val="32"/>
          <w14:textFill>
            <w14:solidFill>
              <w14:schemeClr w14:val="tx1"/>
            </w14:solidFill>
          </w14:textFill>
        </w:rPr>
        <w:t>、差旅费</w:t>
      </w:r>
      <w:r>
        <w:rPr>
          <w:rFonts w:hint="eastAsia" w:ascii="仿宋_GB2312" w:hAnsi="仿宋_GB2312" w:eastAsia="仿宋_GB2312" w:cs="仿宋_GB2312"/>
          <w:color w:val="000000" w:themeColor="text1"/>
          <w:sz w:val="32"/>
          <w:szCs w:val="32"/>
          <w:lang w:eastAsia="zh-CN"/>
          <w14:textFill>
            <w14:solidFill>
              <w14:schemeClr w14:val="tx1"/>
            </w14:solidFill>
          </w14:textFill>
        </w:rPr>
        <w:t>支出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1.25万元</w:t>
      </w:r>
      <w:r>
        <w:rPr>
          <w:rFonts w:hint="eastAsia" w:ascii="仿宋_GB2312" w:hAnsi="仿宋_GB2312" w:eastAsia="仿宋_GB2312" w:cs="仿宋_GB2312"/>
          <w:color w:val="000000" w:themeColor="text1"/>
          <w:sz w:val="32"/>
          <w:szCs w:val="32"/>
          <w14:textFill>
            <w14:solidFill>
              <w14:schemeClr w14:val="tx1"/>
            </w14:solidFill>
          </w14:textFill>
        </w:rPr>
        <w:t>等。</w:t>
      </w:r>
      <w:r>
        <w:rPr>
          <w:rFonts w:hint="eastAsia" w:ascii="仿宋_GB2312" w:hAnsi="仿宋_GB2312" w:eastAsia="仿宋_GB2312" w:cs="仿宋_GB2312"/>
          <w:color w:val="000000" w:themeColor="text1"/>
          <w:sz w:val="32"/>
          <w:szCs w:val="32"/>
          <w:lang w:eastAsia="zh-CN"/>
          <w14:textFill>
            <w14:solidFill>
              <w14:schemeClr w14:val="tx1"/>
            </w14:solidFill>
          </w14:textFill>
        </w:rPr>
        <w:t>主要增减变化情况：工会会费预算增多。</w:t>
      </w:r>
    </w:p>
    <w:p>
      <w:pPr>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color w:val="auto"/>
          <w:sz w:val="32"/>
          <w:szCs w:val="32"/>
          <w:lang w:eastAsia="zh-CN"/>
        </w:rPr>
        <w:t>五、</w:t>
      </w:r>
      <w:r>
        <w:rPr>
          <w:rFonts w:hint="eastAsia" w:ascii="仿宋_GB2312" w:hAnsi="仿宋_GB2312" w:eastAsia="仿宋_GB2312" w:cs="仿宋_GB2312"/>
          <w:b w:val="0"/>
          <w:bCs/>
          <w:sz w:val="32"/>
          <w:szCs w:val="32"/>
        </w:rPr>
        <w:t>政府采购</w:t>
      </w:r>
      <w:r>
        <w:rPr>
          <w:rFonts w:hint="eastAsia" w:ascii="仿宋_GB2312" w:hAnsi="仿宋_GB2312" w:eastAsia="仿宋_GB2312" w:cs="仿宋_GB2312"/>
          <w:b w:val="0"/>
          <w:bCs/>
          <w:sz w:val="32"/>
          <w:szCs w:val="32"/>
          <w:lang w:eastAsia="zh-CN"/>
        </w:rPr>
        <w:t>安排</w:t>
      </w:r>
      <w:r>
        <w:rPr>
          <w:rFonts w:hint="eastAsia" w:ascii="仿宋_GB2312" w:hAnsi="仿宋_GB2312" w:eastAsia="仿宋_GB2312" w:cs="仿宋_GB2312"/>
          <w:b w:val="0"/>
          <w:bCs/>
          <w:sz w:val="32"/>
          <w:szCs w:val="32"/>
        </w:rPr>
        <w:t>情况说明</w:t>
      </w:r>
    </w:p>
    <w:p>
      <w:pPr>
        <w:ind w:firstLine="640" w:firstLineChars="200"/>
        <w:rPr>
          <w:rFonts w:hint="default" w:ascii="仿宋_GB2312" w:hAnsi="仿宋_GB2312" w:eastAsia="仿宋_GB2312" w:cs="仿宋_GB2312"/>
          <w:b w:val="0"/>
          <w:bCs/>
          <w:sz w:val="32"/>
          <w:szCs w:val="32"/>
          <w:lang w:val="en-US" w:eastAsia="zh-CN"/>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本单位本年度无此项预算，故无此项说明</w:t>
      </w:r>
      <w:r>
        <w:rPr>
          <w:rFonts w:hint="eastAsia" w:ascii="仿宋_GB2312" w:hAnsi="仿宋_GB2312" w:eastAsia="仿宋_GB2312" w:cs="仿宋_GB2312"/>
          <w:b w:val="0"/>
          <w:bCs/>
          <w:sz w:val="32"/>
          <w:szCs w:val="32"/>
          <w:lang w:eastAsia="zh-CN"/>
        </w:rPr>
        <w:t>六</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lang w:eastAsia="zh-CN"/>
        </w:rPr>
        <w:t>对专业性较强的名词进行解释</w:t>
      </w:r>
      <w:r>
        <w:rPr>
          <w:rFonts w:hint="eastAsia" w:ascii="仿宋_GB2312" w:hAnsi="仿宋_GB2312" w:eastAsia="仿宋_GB2312" w:cs="仿宋_GB2312"/>
          <w:sz w:val="32"/>
          <w:szCs w:val="32"/>
        </w:rPr>
        <w:t>。</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财政拨款收入：指单位本年度从本级财政部门取得的财政拨款，包括一般公共预算财政拨款和政府性基金预算财政拨款。</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上级补助收入：指事业单位从主管部门和上级单位取得的非财政补助收入。</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 xml:space="preserve">事业收入：指事业单位开展专业业务活动及其辅助活动取得的收入；事业单位收到的财政专户实际核拨的教育收费等资金在此反映。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（四）</w:t>
      </w:r>
      <w:r>
        <w:rPr>
          <w:rFonts w:hint="eastAsia" w:ascii="仿宋_GB2312" w:hAnsi="仿宋_GB2312" w:eastAsia="仿宋_GB2312" w:cs="仿宋_GB2312"/>
          <w:sz w:val="32"/>
          <w:szCs w:val="32"/>
        </w:rPr>
        <w:t>经营收入：指事业单位在专业业务活动及其辅助活动之外开展非独立核算经营活动取得的收入。</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（五）</w:t>
      </w:r>
      <w:r>
        <w:rPr>
          <w:rFonts w:hint="eastAsia" w:ascii="仿宋_GB2312" w:hAnsi="仿宋_GB2312" w:eastAsia="仿宋_GB2312" w:cs="仿宋_GB2312"/>
          <w:sz w:val="32"/>
          <w:szCs w:val="32"/>
        </w:rPr>
        <w:t>附属单位缴款：指事业单位附属独立核算单位按照有关规定上缴的收入。</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（六）</w:t>
      </w:r>
      <w:r>
        <w:rPr>
          <w:rFonts w:hint="eastAsia" w:ascii="仿宋_GB2312" w:hAnsi="仿宋_GB2312" w:eastAsia="仿宋_GB2312" w:cs="仿宋_GB2312"/>
          <w:sz w:val="32"/>
          <w:szCs w:val="32"/>
        </w:rPr>
        <w:t xml:space="preserve">其他收入：指单位取得的除上述“财政拨款收入”、“事业收入”、“经营收入”、“附属单位缴款”等以外的各项收入。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（七）</w:t>
      </w:r>
      <w:r>
        <w:rPr>
          <w:rFonts w:hint="eastAsia" w:ascii="仿宋_GB2312" w:hAnsi="仿宋_GB2312" w:eastAsia="仿宋_GB2312" w:cs="仿宋_GB2312"/>
          <w:sz w:val="32"/>
          <w:szCs w:val="32"/>
        </w:rPr>
        <w:t xml:space="preserve">用事业基金弥补收支差额：指事业单位用事业基金弥补当年收支差额的数额。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（八）</w:t>
      </w:r>
      <w:r>
        <w:rPr>
          <w:rFonts w:hint="eastAsia" w:ascii="仿宋_GB2312" w:hAnsi="仿宋_GB2312" w:eastAsia="仿宋_GB2312" w:cs="仿宋_GB2312"/>
          <w:sz w:val="32"/>
          <w:szCs w:val="32"/>
        </w:rPr>
        <w:t xml:space="preserve">年初结转和结余：指单位上年结转本年使用的基本支出结转、项目支出结转和结余和经营结余。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（九）</w:t>
      </w:r>
      <w:r>
        <w:rPr>
          <w:rFonts w:hint="eastAsia" w:ascii="仿宋_GB2312" w:hAnsi="仿宋_GB2312" w:eastAsia="仿宋_GB2312" w:cs="仿宋_GB2312"/>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（十）</w:t>
      </w:r>
      <w:r>
        <w:rPr>
          <w:rFonts w:hint="eastAsia" w:ascii="仿宋_GB2312" w:hAnsi="仿宋_GB2312" w:eastAsia="仿宋_GB2312" w:cs="仿宋_GB2312"/>
          <w:sz w:val="32"/>
          <w:szCs w:val="32"/>
        </w:rPr>
        <w:t>年末结转和结余资金：指单位结转下年的基本支出结转、项目支出结转和结余和经营结余。</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十一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基本支出：指为保障机构正常运转、完成日常工作任务而发生的人员支出和公用支出。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十二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项目支出：指在基本支出之外为完成特定的行政任务或事业发展目标所发生的支出。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十三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上缴上级支出：指事业单位按照财政部门和主管部门的规定上缴上级单位的支出。</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十四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十五</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对附属单位补助支出：指事业单位用财政补助收入之外的收入对附属单位补助发生的支出。</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十六</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十七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eastAsia="zh-CN"/>
        </w:rPr>
        <w:t>七、国有</w:t>
      </w:r>
      <w:r>
        <w:rPr>
          <w:rFonts w:hint="eastAsia" w:ascii="仿宋_GB2312" w:hAnsi="仿宋_GB2312" w:eastAsia="仿宋_GB2312" w:cs="仿宋_GB2312"/>
          <w:b w:val="0"/>
          <w:bCs/>
          <w:sz w:val="32"/>
          <w:szCs w:val="32"/>
          <w:lang w:val="en-US" w:eastAsia="zh-CN"/>
        </w:rPr>
        <w:t>资产占用情况说明</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shd w:val="clear" w:color="auto" w:fill="FFFFFF"/>
        </w:rPr>
        <w:t>截止201</w:t>
      </w:r>
      <w:r>
        <w:rPr>
          <w:rFonts w:hint="eastAsia" w:ascii="仿宋_GB2312" w:hAnsi="仿宋_GB2312" w:eastAsia="仿宋_GB2312" w:cs="仿宋_GB2312"/>
          <w:color w:val="auto"/>
          <w:sz w:val="32"/>
          <w:szCs w:val="32"/>
          <w:shd w:val="clear" w:color="auto" w:fill="FFFFFF"/>
          <w:lang w:val="en-US" w:eastAsia="zh-CN"/>
        </w:rPr>
        <w:t>9</w:t>
      </w:r>
      <w:r>
        <w:rPr>
          <w:rFonts w:hint="eastAsia" w:ascii="仿宋_GB2312" w:hAnsi="仿宋_GB2312" w:eastAsia="仿宋_GB2312" w:cs="仿宋_GB2312"/>
          <w:color w:val="auto"/>
          <w:sz w:val="32"/>
          <w:szCs w:val="32"/>
          <w:shd w:val="clear" w:color="auto" w:fill="FFFFFF"/>
        </w:rPr>
        <w:t>年12月31日，</w:t>
      </w:r>
      <w:r>
        <w:rPr>
          <w:rFonts w:hint="eastAsia" w:ascii="仿宋_GB2312" w:hAnsi="仿宋_GB2312" w:eastAsia="仿宋_GB2312" w:cs="仿宋_GB2312"/>
          <w:color w:val="auto"/>
          <w:sz w:val="32"/>
          <w:szCs w:val="32"/>
          <w:shd w:val="clear" w:color="auto" w:fill="FFFFFF"/>
          <w:lang w:eastAsia="zh-CN"/>
        </w:rPr>
        <w:t>本单位</w:t>
      </w:r>
      <w:r>
        <w:rPr>
          <w:rFonts w:hint="eastAsia" w:ascii="仿宋_GB2312" w:hAnsi="仿宋_GB2312" w:eastAsia="仿宋_GB2312" w:cs="仿宋_GB2312"/>
          <w:color w:val="auto"/>
          <w:sz w:val="32"/>
          <w:szCs w:val="32"/>
          <w:shd w:val="clear" w:color="auto" w:fill="FFFFFF"/>
        </w:rPr>
        <w:t>资产总额</w:t>
      </w:r>
      <w:r>
        <w:rPr>
          <w:rFonts w:hint="eastAsia" w:ascii="仿宋_GB2312" w:hAnsi="仿宋_GB2312" w:eastAsia="仿宋_GB2312" w:cs="仿宋_GB2312"/>
          <w:color w:val="auto"/>
          <w:sz w:val="32"/>
          <w:szCs w:val="32"/>
          <w:shd w:val="clear" w:color="auto" w:fill="FFFFFF"/>
          <w:lang w:val="en-US" w:eastAsia="zh-CN"/>
        </w:rPr>
        <w:t xml:space="preserve">246.67 </w:t>
      </w:r>
      <w:r>
        <w:rPr>
          <w:rFonts w:hint="eastAsia" w:ascii="仿宋_GB2312" w:hAnsi="仿宋_GB2312" w:eastAsia="仿宋_GB2312" w:cs="仿宋_GB2312"/>
          <w:color w:val="auto"/>
          <w:sz w:val="32"/>
          <w:szCs w:val="32"/>
          <w:shd w:val="clear" w:color="auto" w:fill="FFFFFF"/>
        </w:rPr>
        <w:t>万元，其中流动资产</w:t>
      </w:r>
      <w:r>
        <w:rPr>
          <w:rFonts w:hint="eastAsia" w:ascii="仿宋_GB2312" w:hAnsi="仿宋_GB2312" w:eastAsia="仿宋_GB2312" w:cs="仿宋_GB2312"/>
          <w:color w:val="auto"/>
          <w:sz w:val="32"/>
          <w:szCs w:val="32"/>
          <w:shd w:val="clear" w:color="auto" w:fill="FFFFFF"/>
          <w:lang w:val="en-US" w:eastAsia="zh-CN"/>
        </w:rPr>
        <w:t xml:space="preserve">77.93 </w:t>
      </w:r>
      <w:r>
        <w:rPr>
          <w:rFonts w:hint="eastAsia" w:ascii="仿宋_GB2312" w:hAnsi="仿宋_GB2312" w:eastAsia="仿宋_GB2312" w:cs="仿宋_GB2312"/>
          <w:color w:val="auto"/>
          <w:sz w:val="32"/>
          <w:szCs w:val="32"/>
          <w:shd w:val="clear" w:color="auto" w:fill="FFFFFF"/>
        </w:rPr>
        <w:t>万元，固定资产</w:t>
      </w:r>
      <w:r>
        <w:rPr>
          <w:rFonts w:hint="eastAsia" w:ascii="仿宋_GB2312" w:hAnsi="仿宋_GB2312" w:eastAsia="仿宋_GB2312" w:cs="仿宋_GB2312"/>
          <w:color w:val="auto"/>
          <w:sz w:val="32"/>
          <w:szCs w:val="32"/>
          <w:shd w:val="clear" w:color="auto" w:fill="FFFFFF"/>
          <w:lang w:val="en-US" w:eastAsia="zh-CN"/>
        </w:rPr>
        <w:t xml:space="preserve">168.74 </w:t>
      </w:r>
      <w:r>
        <w:rPr>
          <w:rFonts w:hint="eastAsia" w:ascii="仿宋_GB2312" w:hAnsi="仿宋_GB2312" w:eastAsia="仿宋_GB2312" w:cs="仿宋_GB2312"/>
          <w:color w:val="auto"/>
          <w:sz w:val="32"/>
          <w:szCs w:val="32"/>
          <w:shd w:val="clear" w:color="auto" w:fill="FFFFFF"/>
        </w:rPr>
        <w:t>万元，在建工程</w:t>
      </w:r>
      <w:r>
        <w:rPr>
          <w:rFonts w:hint="eastAsia" w:ascii="仿宋_GB2312" w:hAnsi="仿宋_GB2312" w:eastAsia="仿宋_GB2312" w:cs="仿宋_GB2312"/>
          <w:color w:val="auto"/>
          <w:sz w:val="32"/>
          <w:szCs w:val="32"/>
          <w:shd w:val="clear" w:color="auto" w:fill="FFFFFF"/>
          <w:lang w:val="en-US" w:eastAsia="zh-CN"/>
        </w:rPr>
        <w:t xml:space="preserve">0 </w:t>
      </w:r>
      <w:r>
        <w:rPr>
          <w:rFonts w:hint="eastAsia" w:ascii="仿宋_GB2312" w:hAnsi="仿宋_GB2312" w:eastAsia="仿宋_GB2312" w:cs="仿宋_GB2312"/>
          <w:color w:val="auto"/>
          <w:sz w:val="32"/>
          <w:szCs w:val="32"/>
          <w:shd w:val="clear" w:color="auto" w:fill="FFFFFF"/>
        </w:rPr>
        <w:t>万元，无形资产</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固定资产当中，房屋构筑物</w:t>
      </w:r>
      <w:r>
        <w:rPr>
          <w:rFonts w:hint="eastAsia" w:ascii="仿宋_GB2312" w:hAnsi="仿宋_GB2312" w:eastAsia="仿宋_GB2312" w:cs="仿宋_GB2312"/>
          <w:color w:val="auto"/>
          <w:sz w:val="32"/>
          <w:szCs w:val="32"/>
          <w:shd w:val="clear" w:color="auto" w:fill="FFFFFF"/>
          <w:lang w:val="en-US" w:eastAsia="zh-CN"/>
        </w:rPr>
        <w:t xml:space="preserve"> 82.75</w:t>
      </w:r>
      <w:r>
        <w:rPr>
          <w:rFonts w:hint="eastAsia" w:ascii="仿宋_GB2312" w:hAnsi="仿宋_GB2312" w:eastAsia="仿宋_GB2312" w:cs="仿宋_GB2312"/>
          <w:color w:val="auto"/>
          <w:sz w:val="32"/>
          <w:szCs w:val="32"/>
          <w:shd w:val="clear" w:color="auto" w:fill="FFFFFF"/>
        </w:rPr>
        <w:t>万元，汽车</w:t>
      </w:r>
      <w:r>
        <w:rPr>
          <w:rFonts w:hint="eastAsia" w:ascii="仿宋_GB2312" w:hAnsi="仿宋_GB2312" w:eastAsia="仿宋_GB2312" w:cs="仿宋_GB2312"/>
          <w:color w:val="auto"/>
          <w:sz w:val="32"/>
          <w:szCs w:val="32"/>
          <w:shd w:val="clear" w:color="auto" w:fill="FFFFFF"/>
          <w:lang w:val="en-US" w:eastAsia="zh-CN"/>
        </w:rPr>
        <w:t xml:space="preserve">5 </w:t>
      </w:r>
      <w:r>
        <w:rPr>
          <w:rFonts w:hint="eastAsia" w:ascii="仿宋_GB2312" w:hAnsi="仿宋_GB2312" w:eastAsia="仿宋_GB2312" w:cs="仿宋_GB2312"/>
          <w:color w:val="auto"/>
          <w:sz w:val="32"/>
          <w:szCs w:val="32"/>
          <w:shd w:val="clear" w:color="auto" w:fill="FFFFFF"/>
        </w:rPr>
        <w:t>辆</w:t>
      </w:r>
      <w:r>
        <w:rPr>
          <w:rFonts w:hint="eastAsia" w:ascii="仿宋_GB2312" w:hAnsi="仿宋_GB2312" w:eastAsia="仿宋_GB2312" w:cs="仿宋_GB2312"/>
          <w:color w:val="auto"/>
          <w:sz w:val="32"/>
          <w:szCs w:val="32"/>
          <w:shd w:val="clear" w:color="auto" w:fill="FFFFFF"/>
          <w:lang w:val="en-US" w:eastAsia="zh-CN"/>
        </w:rPr>
        <w:t>0.85</w:t>
      </w:r>
      <w:r>
        <w:rPr>
          <w:rFonts w:hint="eastAsia" w:ascii="仿宋_GB2312" w:hAnsi="仿宋_GB2312" w:eastAsia="仿宋_GB2312" w:cs="仿宋_GB2312"/>
          <w:color w:val="auto"/>
          <w:sz w:val="32"/>
          <w:szCs w:val="32"/>
          <w:shd w:val="clear" w:color="auto" w:fill="FFFFFF"/>
        </w:rPr>
        <w:t>万元，单价200万元以上大型设备价值</w:t>
      </w:r>
      <w:r>
        <w:rPr>
          <w:rFonts w:hint="eastAsia" w:ascii="仿宋_GB2312" w:hAnsi="仿宋_GB2312" w:eastAsia="仿宋_GB2312" w:cs="仿宋_GB2312"/>
          <w:color w:val="auto"/>
          <w:sz w:val="32"/>
          <w:szCs w:val="32"/>
          <w:shd w:val="clear" w:color="auto" w:fill="FFFFFF"/>
          <w:lang w:val="en-US" w:eastAsia="zh-CN"/>
        </w:rPr>
        <w:t xml:space="preserve">  0</w:t>
      </w:r>
      <w:r>
        <w:rPr>
          <w:rFonts w:hint="eastAsia" w:ascii="仿宋_GB2312" w:hAnsi="仿宋_GB2312" w:eastAsia="仿宋_GB2312" w:cs="仿宋_GB2312"/>
          <w:color w:val="auto"/>
          <w:sz w:val="32"/>
          <w:szCs w:val="32"/>
          <w:shd w:val="clear" w:color="auto" w:fill="FFFFFF"/>
        </w:rPr>
        <w:t>万元，其他固定资产</w:t>
      </w:r>
      <w:r>
        <w:rPr>
          <w:rFonts w:hint="eastAsia" w:ascii="仿宋_GB2312" w:hAnsi="仿宋_GB2312" w:eastAsia="仿宋_GB2312" w:cs="仿宋_GB2312"/>
          <w:color w:val="auto"/>
          <w:sz w:val="32"/>
          <w:szCs w:val="32"/>
          <w:shd w:val="clear" w:color="auto" w:fill="FFFFFF"/>
          <w:lang w:val="en-US" w:eastAsia="zh-CN"/>
        </w:rPr>
        <w:t xml:space="preserve"> 85.14</w:t>
      </w:r>
      <w:r>
        <w:rPr>
          <w:rFonts w:hint="eastAsia" w:ascii="仿宋_GB2312" w:hAnsi="仿宋_GB2312" w:eastAsia="仿宋_GB2312" w:cs="仿宋_GB2312"/>
          <w:color w:val="auto"/>
          <w:sz w:val="32"/>
          <w:szCs w:val="32"/>
          <w:shd w:val="clear" w:color="auto" w:fill="FFFFFF"/>
        </w:rPr>
        <w:t>万元。 </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与上年相比，本年资产总额</w:t>
      </w:r>
      <w:r>
        <w:rPr>
          <w:rFonts w:hint="eastAsia" w:ascii="仿宋_GB2312" w:hAnsi="仿宋_GB2312" w:eastAsia="仿宋_GB2312" w:cs="仿宋_GB2312"/>
          <w:color w:val="auto"/>
          <w:sz w:val="32"/>
          <w:szCs w:val="32"/>
          <w:shd w:val="clear" w:color="auto" w:fill="FFFFFF"/>
          <w:lang w:eastAsia="zh-CN"/>
        </w:rPr>
        <w:t>减少</w:t>
      </w:r>
      <w:r>
        <w:rPr>
          <w:rFonts w:hint="eastAsia" w:ascii="仿宋_GB2312" w:hAnsi="仿宋_GB2312" w:eastAsia="仿宋_GB2312" w:cs="仿宋_GB2312"/>
          <w:color w:val="auto"/>
          <w:sz w:val="32"/>
          <w:szCs w:val="32"/>
          <w:shd w:val="clear" w:color="auto" w:fill="FFFFFF"/>
          <w:lang w:val="en-US" w:eastAsia="zh-CN"/>
        </w:rPr>
        <w:t xml:space="preserve">142.21 </w:t>
      </w:r>
      <w:r>
        <w:rPr>
          <w:rFonts w:hint="eastAsia" w:ascii="仿宋_GB2312" w:hAnsi="仿宋_GB2312" w:eastAsia="仿宋_GB2312" w:cs="仿宋_GB2312"/>
          <w:color w:val="auto"/>
          <w:sz w:val="32"/>
          <w:szCs w:val="32"/>
          <w:shd w:val="clear" w:color="auto" w:fill="FFFFFF"/>
        </w:rPr>
        <w:t>万元。 </w:t>
      </w:r>
    </w:p>
    <w:p>
      <w:pPr>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八、重点项目预算的绩效目标等预算绩效情况说明</w:t>
      </w:r>
    </w:p>
    <w:p>
      <w:pPr>
        <w:ind w:firstLine="640" w:firstLineChars="200"/>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本单位本年度无此项预算，故无此项说明。</w:t>
      </w:r>
    </w:p>
    <w:p>
      <w:pPr>
        <w:ind w:firstLine="640" w:firstLineChars="200"/>
        <w:rPr>
          <w:rFonts w:hint="eastAsia" w:ascii="仿宋_GB2312" w:hAnsi="仿宋_GB2312" w:eastAsia="仿宋_GB2312" w:cs="仿宋_GB2312"/>
          <w:b w:val="0"/>
          <w:bCs/>
          <w:sz w:val="32"/>
          <w:szCs w:val="32"/>
          <w:lang w:eastAsia="zh-CN"/>
        </w:rPr>
      </w:pPr>
      <w:r>
        <w:rPr>
          <w:rFonts w:hint="eastAsia" w:ascii="仿宋_GB2312" w:hAnsi="仿宋_GB2312" w:eastAsia="仿宋_GB2312" w:cs="仿宋_GB2312"/>
          <w:b w:val="0"/>
          <w:bCs/>
          <w:sz w:val="32"/>
          <w:szCs w:val="32"/>
          <w:lang w:val="en-US" w:eastAsia="zh-CN"/>
        </w:rPr>
        <w:t>九、</w:t>
      </w:r>
      <w:r>
        <w:rPr>
          <w:rFonts w:hint="eastAsia" w:ascii="仿宋_GB2312" w:hAnsi="仿宋_GB2312" w:eastAsia="仿宋_GB2312" w:cs="仿宋_GB2312"/>
          <w:b w:val="0"/>
          <w:bCs/>
          <w:sz w:val="32"/>
          <w:szCs w:val="32"/>
        </w:rPr>
        <w:t>一般公共预算“三公”经费支出</w:t>
      </w:r>
      <w:r>
        <w:rPr>
          <w:rFonts w:hint="eastAsia" w:ascii="仿宋_GB2312" w:hAnsi="仿宋_GB2312" w:eastAsia="仿宋_GB2312" w:cs="仿宋_GB2312"/>
          <w:b w:val="0"/>
          <w:bCs/>
          <w:sz w:val="32"/>
          <w:szCs w:val="32"/>
          <w:lang w:eastAsia="zh-CN"/>
        </w:rPr>
        <w:t>增减变化原因等说明</w:t>
      </w:r>
    </w:p>
    <w:p>
      <w:p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本部门20</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w:t>
      </w:r>
      <w:r>
        <w:rPr>
          <w:rFonts w:hint="eastAsia" w:ascii="仿宋_GB2312" w:hAnsi="仿宋_GB2312" w:eastAsia="仿宋_GB2312" w:cs="仿宋_GB2312"/>
          <w:color w:val="000000" w:themeColor="text1"/>
          <w:sz w:val="32"/>
          <w:szCs w:val="32"/>
          <w14:textFill>
            <w14:solidFill>
              <w14:schemeClr w14:val="tx1"/>
            </w14:solidFill>
          </w14:textFill>
        </w:rPr>
        <w:t>年度一般公共预算“三公”经费预算数为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万元，较20</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19</w:t>
      </w:r>
      <w:r>
        <w:rPr>
          <w:rFonts w:hint="eastAsia" w:ascii="仿宋_GB2312" w:hAnsi="仿宋_GB2312" w:eastAsia="仿宋_GB2312" w:cs="仿宋_GB2312"/>
          <w:color w:val="000000" w:themeColor="text1"/>
          <w:sz w:val="32"/>
          <w:szCs w:val="32"/>
          <w14:textFill>
            <w14:solidFill>
              <w14:schemeClr w14:val="tx1"/>
            </w14:solidFill>
          </w14:textFill>
        </w:rPr>
        <w:t>年</w:t>
      </w:r>
      <w:r>
        <w:rPr>
          <w:rFonts w:hint="eastAsia" w:ascii="仿宋_GB2312" w:hAnsi="仿宋_GB2312" w:eastAsia="仿宋_GB2312" w:cs="仿宋_GB2312"/>
          <w:color w:val="000000" w:themeColor="text1"/>
          <w:sz w:val="32"/>
          <w:szCs w:val="32"/>
          <w:lang w:eastAsia="zh-CN"/>
          <w14:textFill>
            <w14:solidFill>
              <w14:schemeClr w14:val="tx1"/>
            </w14:solidFill>
          </w14:textFill>
        </w:rPr>
        <w:t>减少</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0.5</w:t>
      </w:r>
      <w:r>
        <w:rPr>
          <w:rFonts w:hint="eastAsia" w:ascii="仿宋_GB2312" w:hAnsi="仿宋_GB2312" w:eastAsia="仿宋_GB2312" w:cs="仿宋_GB2312"/>
          <w:color w:val="000000" w:themeColor="text1"/>
          <w:sz w:val="32"/>
          <w:szCs w:val="32"/>
          <w14:textFill>
            <w14:solidFill>
              <w14:schemeClr w14:val="tx1"/>
            </w14:solidFill>
          </w14:textFill>
        </w:rPr>
        <w:t>万元，</w:t>
      </w:r>
      <w:r>
        <w:rPr>
          <w:rFonts w:hint="eastAsia" w:ascii="仿宋_GB2312" w:hAnsi="仿宋_GB2312" w:eastAsia="仿宋_GB2312" w:cs="仿宋_GB2312"/>
          <w:color w:val="000000" w:themeColor="text1"/>
          <w:sz w:val="32"/>
          <w:szCs w:val="32"/>
          <w:lang w:eastAsia="zh-CN"/>
          <w14:textFill>
            <w14:solidFill>
              <w14:schemeClr w14:val="tx1"/>
            </w14:solidFill>
          </w14:textFill>
        </w:rPr>
        <w:t>减少</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14.29  </w:t>
      </w:r>
      <w:r>
        <w:rPr>
          <w:rFonts w:hint="eastAsia" w:ascii="仿宋_GB2312" w:hAnsi="仿宋_GB2312" w:eastAsia="仿宋_GB2312" w:cs="仿宋_GB2312"/>
          <w:color w:val="000000" w:themeColor="text1"/>
          <w:sz w:val="32"/>
          <w:szCs w:val="32"/>
          <w14:textFill>
            <w14:solidFill>
              <w14:schemeClr w14:val="tx1"/>
            </w14:solidFill>
          </w14:textFill>
        </w:rPr>
        <w:t>%，其中：</w:t>
      </w:r>
    </w:p>
    <w:p>
      <w:pPr>
        <w:numPr>
          <w:ilvl w:val="0"/>
          <w:numId w:val="1"/>
        </w:num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因公出国（境）支出年初预算数为0万元，</w:t>
      </w:r>
      <w:r>
        <w:rPr>
          <w:rFonts w:hint="eastAsia" w:ascii="仿宋_GB2312" w:hAnsi="仿宋_GB2312" w:eastAsia="仿宋_GB2312" w:cs="仿宋_GB2312"/>
          <w:color w:val="000000" w:themeColor="text1"/>
          <w:sz w:val="32"/>
          <w:szCs w:val="32"/>
          <w:lang w:eastAsia="zh-CN"/>
          <w14:textFill>
            <w14:solidFill>
              <w14:schemeClr w14:val="tx1"/>
            </w14:solidFill>
          </w14:textFill>
        </w:rPr>
        <w:t>因公出国（境）团组数为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0，人数为0。</w:t>
      </w:r>
      <w:r>
        <w:rPr>
          <w:rFonts w:hint="eastAsia" w:ascii="仿宋_GB2312" w:hAnsi="仿宋_GB2312" w:eastAsia="仿宋_GB2312" w:cs="仿宋_GB2312"/>
          <w:color w:val="000000" w:themeColor="text1"/>
          <w:sz w:val="32"/>
          <w:szCs w:val="32"/>
          <w14:textFill>
            <w14:solidFill>
              <w14:schemeClr w14:val="tx1"/>
            </w14:solidFill>
          </w14:textFill>
        </w:rPr>
        <w:t>较20</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19</w:t>
      </w:r>
      <w:r>
        <w:rPr>
          <w:rFonts w:hint="eastAsia" w:ascii="仿宋_GB2312" w:hAnsi="仿宋_GB2312" w:eastAsia="仿宋_GB2312" w:cs="仿宋_GB2312"/>
          <w:color w:val="000000" w:themeColor="text1"/>
          <w:sz w:val="32"/>
          <w:szCs w:val="32"/>
          <w14:textFill>
            <w14:solidFill>
              <w14:schemeClr w14:val="tx1"/>
            </w14:solidFill>
          </w14:textFill>
        </w:rPr>
        <w:t>年</w:t>
      </w:r>
      <w:r>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t>无变动</w:t>
      </w:r>
      <w:r>
        <w:rPr>
          <w:rFonts w:hint="eastAsia" w:ascii="仿宋_GB2312" w:hAnsi="仿宋_GB2312" w:eastAsia="仿宋_GB2312" w:cs="仿宋_GB2312"/>
          <w:color w:val="000000" w:themeColor="text1"/>
          <w:sz w:val="32"/>
          <w:szCs w:val="32"/>
          <w14:textFill>
            <w14:solidFill>
              <w14:schemeClr w14:val="tx1"/>
            </w14:solidFill>
          </w14:textFill>
        </w:rPr>
        <w:t>。</w:t>
      </w:r>
    </w:p>
    <w:p>
      <w:pPr>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（二）公务接待费支出年初预算数为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万元，较20</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19</w:t>
      </w:r>
      <w:r>
        <w:rPr>
          <w:rFonts w:hint="eastAsia" w:ascii="仿宋_GB2312" w:hAnsi="仿宋_GB2312" w:eastAsia="仿宋_GB2312" w:cs="仿宋_GB2312"/>
          <w:color w:val="000000" w:themeColor="text1"/>
          <w:sz w:val="32"/>
          <w:szCs w:val="32"/>
          <w14:textFill>
            <w14:solidFill>
              <w14:schemeClr w14:val="tx1"/>
            </w14:solidFill>
          </w14:textFill>
        </w:rPr>
        <w:t>年</w:t>
      </w:r>
      <w:r>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t>无变动</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p>
    <w:p>
      <w:pPr>
        <w:ind w:firstLine="640" w:firstLineChars="20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（三）公务用车购置及运行维护费支出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万元，其中公务用车购置年初预算数为0万元，较20</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19</w:t>
      </w:r>
      <w:r>
        <w:rPr>
          <w:rFonts w:hint="eastAsia" w:ascii="仿宋_GB2312" w:hAnsi="仿宋_GB2312" w:eastAsia="仿宋_GB2312" w:cs="仿宋_GB2312"/>
          <w:color w:val="000000" w:themeColor="text1"/>
          <w:sz w:val="32"/>
          <w:szCs w:val="32"/>
          <w14:textFill>
            <w14:solidFill>
              <w14:schemeClr w14:val="tx1"/>
            </w14:solidFill>
          </w14:textFill>
        </w:rPr>
        <w:t>年</w:t>
      </w:r>
      <w:r>
        <w:rPr>
          <w:rFonts w:hint="eastAsia" w:ascii="仿宋_GB2312" w:hAnsi="仿宋_GB2312" w:eastAsia="仿宋_GB2312" w:cs="仿宋_GB2312"/>
          <w:color w:val="000000" w:themeColor="text1"/>
          <w:sz w:val="32"/>
          <w:szCs w:val="32"/>
          <w:lang w:eastAsia="zh-CN"/>
          <w14:textFill>
            <w14:solidFill>
              <w14:schemeClr w14:val="tx1"/>
            </w14:solidFill>
          </w14:textFill>
        </w:rPr>
        <w:t>无变化</w:t>
      </w:r>
      <w:r>
        <w:rPr>
          <w:rFonts w:hint="eastAsia" w:ascii="仿宋_GB2312" w:hAnsi="仿宋_GB2312" w:eastAsia="仿宋_GB2312" w:cs="仿宋_GB2312"/>
          <w:color w:val="000000" w:themeColor="text1"/>
          <w:sz w:val="32"/>
          <w:szCs w:val="32"/>
          <w14:textFill>
            <w14:solidFill>
              <w14:schemeClr w14:val="tx1"/>
            </w14:solidFill>
          </w14:textFill>
        </w:rPr>
        <w:t>；公务用车运行维护费支出年初预算数为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万元，较20</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19</w:t>
      </w:r>
      <w:r>
        <w:rPr>
          <w:rFonts w:hint="eastAsia" w:ascii="仿宋_GB2312" w:hAnsi="仿宋_GB2312" w:eastAsia="仿宋_GB2312" w:cs="仿宋_GB2312"/>
          <w:color w:val="000000" w:themeColor="text1"/>
          <w:sz w:val="32"/>
          <w:szCs w:val="32"/>
          <w14:textFill>
            <w14:solidFill>
              <w14:schemeClr w14:val="tx1"/>
            </w14:solidFill>
          </w14:textFill>
        </w:rPr>
        <w:t>年</w:t>
      </w:r>
      <w:r>
        <w:rPr>
          <w:rFonts w:hint="eastAsia" w:ascii="仿宋_GB2312" w:hAnsi="仿宋_GB2312" w:eastAsia="仿宋_GB2312" w:cs="仿宋_GB2312"/>
          <w:color w:val="000000" w:themeColor="text1"/>
          <w:sz w:val="32"/>
          <w:szCs w:val="32"/>
          <w:lang w:eastAsia="zh-CN"/>
          <w14:textFill>
            <w14:solidFill>
              <w14:schemeClr w14:val="tx1"/>
            </w14:solidFill>
          </w14:textFill>
        </w:rPr>
        <w:t>减少</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0.5</w:t>
      </w:r>
      <w:r>
        <w:rPr>
          <w:rFonts w:hint="eastAsia" w:ascii="仿宋_GB2312" w:hAnsi="仿宋_GB2312" w:eastAsia="仿宋_GB2312" w:cs="仿宋_GB2312"/>
          <w:color w:val="000000" w:themeColor="text1"/>
          <w:sz w:val="32"/>
          <w:szCs w:val="32"/>
          <w14:textFill>
            <w14:solidFill>
              <w14:schemeClr w14:val="tx1"/>
            </w14:solidFill>
          </w14:textFill>
        </w:rPr>
        <w:t>万元，</w:t>
      </w:r>
      <w:r>
        <w:rPr>
          <w:rFonts w:hint="eastAsia" w:ascii="仿宋_GB2312" w:hAnsi="仿宋_GB2312" w:eastAsia="仿宋_GB2312" w:cs="仿宋_GB2312"/>
          <w:color w:val="000000" w:themeColor="text1"/>
          <w:sz w:val="32"/>
          <w:szCs w:val="32"/>
          <w:lang w:eastAsia="zh-CN"/>
          <w14:textFill>
            <w14:solidFill>
              <w14:schemeClr w14:val="tx1"/>
            </w14:solidFill>
          </w14:textFill>
        </w:rPr>
        <w:t>减少</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14.29  </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eastAsia="zh-CN"/>
          <w14:textFill>
            <w14:solidFill>
              <w14:schemeClr w14:val="tx1"/>
            </w14:solidFill>
          </w14:textFill>
        </w:rPr>
        <w:t>本年度公务用车购置数</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0辆，公务用车保有量2辆。</w:t>
      </w:r>
    </w:p>
    <w:p>
      <w:p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十、政府性基金预算支出预算情况说明</w:t>
      </w:r>
    </w:p>
    <w:p>
      <w:pPr>
        <w:ind w:firstLine="640" w:firstLineChars="200"/>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本单位本年度无此项预算，故无此项说明。</w:t>
      </w:r>
    </w:p>
    <w:p>
      <w:p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p>
    <w:p>
      <w:pPr>
        <w:rPr>
          <w:rFonts w:hint="eastAsia" w:ascii="仿宋_GB2312" w:hAnsi="仿宋_GB2312" w:eastAsia="仿宋_GB2312" w:cs="仿宋_GB2312"/>
          <w:color w:val="000000" w:themeColor="text1"/>
          <w:sz w:val="32"/>
          <w:szCs w:val="32"/>
          <w14:textFill>
            <w14:solidFill>
              <w14:schemeClr w14:val="tx1"/>
            </w14:solidFill>
          </w14:textFill>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0FB7932"/>
    <w:rsid w:val="014A06B6"/>
    <w:rsid w:val="01742A72"/>
    <w:rsid w:val="01DA336E"/>
    <w:rsid w:val="05E42E29"/>
    <w:rsid w:val="061E09E3"/>
    <w:rsid w:val="06A43BA7"/>
    <w:rsid w:val="087A6196"/>
    <w:rsid w:val="0A2564BE"/>
    <w:rsid w:val="0C5A5250"/>
    <w:rsid w:val="0C64513E"/>
    <w:rsid w:val="0DE649EC"/>
    <w:rsid w:val="0EE25EB1"/>
    <w:rsid w:val="0F927BAA"/>
    <w:rsid w:val="10CB3E8D"/>
    <w:rsid w:val="11F35FF2"/>
    <w:rsid w:val="179A58B8"/>
    <w:rsid w:val="1B4A6025"/>
    <w:rsid w:val="1C3A257E"/>
    <w:rsid w:val="1DF453AF"/>
    <w:rsid w:val="1E107510"/>
    <w:rsid w:val="1E643EFE"/>
    <w:rsid w:val="209E0EC3"/>
    <w:rsid w:val="22140CC1"/>
    <w:rsid w:val="24D63713"/>
    <w:rsid w:val="2A937DAC"/>
    <w:rsid w:val="2ACA12C6"/>
    <w:rsid w:val="2DB60033"/>
    <w:rsid w:val="2F754CA8"/>
    <w:rsid w:val="2FB928F6"/>
    <w:rsid w:val="341824CB"/>
    <w:rsid w:val="343F3937"/>
    <w:rsid w:val="34D53928"/>
    <w:rsid w:val="37015ED3"/>
    <w:rsid w:val="39E01B38"/>
    <w:rsid w:val="3F5C42DA"/>
    <w:rsid w:val="41EE06AB"/>
    <w:rsid w:val="43E475B8"/>
    <w:rsid w:val="44464920"/>
    <w:rsid w:val="458B37F5"/>
    <w:rsid w:val="467D2DBE"/>
    <w:rsid w:val="48832669"/>
    <w:rsid w:val="48E87EB6"/>
    <w:rsid w:val="4A4F3891"/>
    <w:rsid w:val="4AFA4BB2"/>
    <w:rsid w:val="4D9B3CEE"/>
    <w:rsid w:val="4EBA5260"/>
    <w:rsid w:val="522F50B0"/>
    <w:rsid w:val="52567629"/>
    <w:rsid w:val="52D54DBE"/>
    <w:rsid w:val="582B68F4"/>
    <w:rsid w:val="5D083F24"/>
    <w:rsid w:val="5D306324"/>
    <w:rsid w:val="60860A87"/>
    <w:rsid w:val="60B46440"/>
    <w:rsid w:val="615250FF"/>
    <w:rsid w:val="61C6166E"/>
    <w:rsid w:val="62CA09B2"/>
    <w:rsid w:val="635C762A"/>
    <w:rsid w:val="670C00FF"/>
    <w:rsid w:val="68932DBF"/>
    <w:rsid w:val="6FD93AE0"/>
    <w:rsid w:val="71FC58C7"/>
    <w:rsid w:val="7249546B"/>
    <w:rsid w:val="729F0AAD"/>
    <w:rsid w:val="76F15DEE"/>
    <w:rsid w:val="79D13481"/>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5</TotalTime>
  <ScaleCrop>false</ScaleCrop>
  <LinksUpToDate>false</LinksUpToDate>
  <CharactersWithSpaces>3878</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童年的笙箫渐行渐远</cp:lastModifiedBy>
  <cp:lastPrinted>2019-09-11T06:01:00Z</cp:lastPrinted>
  <dcterms:modified xsi:type="dcterms:W3CDTF">2021-06-03T09:29:52Z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F8AC168E0CDC4D6BBB411B7F957A1AF8</vt:lpwstr>
  </property>
</Properties>
</file>