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w:t>
      </w:r>
      <w:r>
        <w:rPr>
          <w:rFonts w:hint="eastAsia" w:ascii="Arial" w:hAnsi="Arial" w:eastAsia="黑体" w:cs="Arial"/>
          <w:sz w:val="44"/>
          <w:szCs w:val="44"/>
        </w:rPr>
        <w:t>文学艺术界联合会</w:t>
      </w:r>
    </w:p>
    <w:p>
      <w:pPr>
        <w:jc w:val="center"/>
        <w:rPr>
          <w:rFonts w:ascii="黑体" w:hAnsi="黑体" w:eastAsia="黑体" w:cstheme="minorEastAsia"/>
          <w:sz w:val="44"/>
          <w:szCs w:val="44"/>
        </w:rPr>
      </w:pPr>
      <w:r>
        <w:rPr>
          <w:rFonts w:hint="eastAsia" w:ascii="黑体" w:hAnsi="黑体" w:eastAsia="黑体" w:cstheme="minorEastAsia"/>
          <w:sz w:val="44"/>
          <w:szCs w:val="44"/>
        </w:rPr>
        <w:t>202</w:t>
      </w:r>
      <w:r>
        <w:rPr>
          <w:rFonts w:ascii="黑体" w:hAnsi="黑体" w:eastAsia="黑体" w:cstheme="minorEastAsia"/>
          <w:sz w:val="44"/>
          <w:szCs w:val="44"/>
        </w:rPr>
        <w:t>0</w:t>
      </w:r>
      <w:r>
        <w:rPr>
          <w:rFonts w:hint="eastAsia" w:ascii="黑体" w:hAnsi="黑体" w:eastAsia="黑体" w:cstheme="minorEastAsia"/>
          <w:sz w:val="44"/>
          <w:szCs w:val="44"/>
        </w:rPr>
        <w:t>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一、主要职能</w:t>
      </w:r>
    </w:p>
    <w:p>
      <w:pPr>
        <w:ind w:firstLine="600" w:firstLineChars="200"/>
        <w:rPr>
          <w:rFonts w:ascii="仿宋_GB2312" w:hAnsi="仿宋_GB2312" w:eastAsia="仿宋_GB2312" w:cs="仿宋_GB2312"/>
          <w:color w:val="000000" w:themeColor="text1"/>
          <w:sz w:val="30"/>
          <w:szCs w:val="30"/>
          <w:lang w:bidi="ar"/>
          <w14:textFill>
            <w14:solidFill>
              <w14:schemeClr w14:val="tx1"/>
            </w14:solidFill>
          </w14:textFill>
        </w:rPr>
      </w:pPr>
      <w:r>
        <w:rPr>
          <w:rFonts w:hint="eastAsia" w:ascii="仿宋_GB2312" w:hAnsi="仿宋_GB2312" w:eastAsia="仿宋_GB2312" w:cs="仿宋_GB2312"/>
          <w:color w:val="000000" w:themeColor="text1"/>
          <w:sz w:val="30"/>
          <w:szCs w:val="30"/>
          <w:lang w:bidi="ar"/>
          <w14:textFill>
            <w14:solidFill>
              <w14:schemeClr w14:val="tx1"/>
            </w14:solidFill>
          </w14:textFill>
        </w:rPr>
        <w:t>1、坚持“二为”方向和“双百”方针，致力于繁荣和发展襄垣县文学艺术事业。</w:t>
      </w:r>
    </w:p>
    <w:p>
      <w:pPr>
        <w:ind w:firstLine="600" w:firstLineChars="200"/>
        <w:rPr>
          <w:rFonts w:ascii="仿宋_GB2312" w:hAnsi="仿宋_GB2312" w:eastAsia="仿宋_GB2312" w:cs="仿宋_GB2312"/>
          <w:color w:val="000000" w:themeColor="text1"/>
          <w:sz w:val="30"/>
          <w:szCs w:val="30"/>
          <w:lang w:bidi="ar"/>
          <w14:textFill>
            <w14:solidFill>
              <w14:schemeClr w14:val="tx1"/>
            </w14:solidFill>
          </w14:textFill>
        </w:rPr>
      </w:pPr>
      <w:r>
        <w:rPr>
          <w:rFonts w:hint="eastAsia" w:ascii="仿宋_GB2312" w:hAnsi="仿宋_GB2312" w:eastAsia="仿宋_GB2312" w:cs="仿宋_GB2312"/>
          <w:color w:val="000000" w:themeColor="text1"/>
          <w:sz w:val="30"/>
          <w:szCs w:val="30"/>
          <w:lang w:bidi="ar"/>
          <w14:textFill>
            <w14:solidFill>
              <w14:schemeClr w14:val="tx1"/>
            </w14:solidFill>
          </w14:textFill>
        </w:rPr>
        <w:t>2、对其所属的各团体会员进行联络、协调、服务、指导。</w:t>
      </w:r>
    </w:p>
    <w:p>
      <w:pPr>
        <w:ind w:firstLine="600" w:firstLineChars="200"/>
        <w:rPr>
          <w:rFonts w:ascii="仿宋_GB2312" w:hAnsi="仿宋_GB2312" w:eastAsia="仿宋_GB2312" w:cs="仿宋_GB2312"/>
          <w:color w:val="000000" w:themeColor="text1"/>
          <w:sz w:val="30"/>
          <w:szCs w:val="30"/>
          <w:lang w:bidi="ar"/>
          <w14:textFill>
            <w14:solidFill>
              <w14:schemeClr w14:val="tx1"/>
            </w14:solidFill>
          </w14:textFill>
        </w:rPr>
      </w:pPr>
      <w:r>
        <w:rPr>
          <w:rFonts w:hint="eastAsia" w:ascii="仿宋_GB2312" w:hAnsi="仿宋_GB2312" w:eastAsia="仿宋_GB2312" w:cs="仿宋_GB2312"/>
          <w:color w:val="000000" w:themeColor="text1"/>
          <w:sz w:val="30"/>
          <w:szCs w:val="30"/>
          <w:lang w:bidi="ar"/>
          <w14:textFill>
            <w14:solidFill>
              <w14:schemeClr w14:val="tx1"/>
            </w14:solidFill>
          </w14:textFill>
        </w:rPr>
        <w:t>3、组织和推动其所属的各团体会员积极开展各项文学艺术活动。</w:t>
      </w:r>
    </w:p>
    <w:p>
      <w:pPr>
        <w:ind w:firstLine="600" w:firstLineChars="200"/>
        <w:rPr>
          <w:rFonts w:ascii="仿宋_GB2312" w:hAnsi="仿宋_GB2312" w:eastAsia="仿宋_GB2312" w:cs="仿宋_GB2312"/>
          <w:color w:val="000000" w:themeColor="text1"/>
          <w:sz w:val="30"/>
          <w:szCs w:val="30"/>
          <w:lang w:bidi="ar"/>
          <w14:textFill>
            <w14:solidFill>
              <w14:schemeClr w14:val="tx1"/>
            </w14:solidFill>
          </w14:textFill>
        </w:rPr>
      </w:pPr>
      <w:r>
        <w:rPr>
          <w:rFonts w:hint="eastAsia" w:ascii="仿宋_GB2312" w:hAnsi="仿宋_GB2312" w:eastAsia="仿宋_GB2312" w:cs="仿宋_GB2312"/>
          <w:color w:val="000000" w:themeColor="text1"/>
          <w:sz w:val="30"/>
          <w:szCs w:val="30"/>
          <w:lang w:bidi="ar"/>
          <w14:textFill>
            <w14:solidFill>
              <w14:schemeClr w14:val="tx1"/>
            </w14:solidFill>
          </w14:textFill>
        </w:rPr>
        <w:t>4、根据需要和可能，采取切实有效的措施，鼓励和促进广大文艺工作者深入生活、扎根人民，加强艺术实践，交流创作经验，提高艺术修养和艺术水平。</w:t>
      </w:r>
    </w:p>
    <w:p>
      <w:pPr>
        <w:ind w:firstLine="600" w:firstLineChars="200"/>
        <w:rPr>
          <w:rFonts w:ascii="仿宋_GB2312" w:hAnsi="仿宋_GB2312" w:eastAsia="仿宋_GB2312" w:cs="仿宋_GB2312"/>
          <w:color w:val="000000" w:themeColor="text1"/>
          <w:sz w:val="30"/>
          <w:szCs w:val="30"/>
          <w:lang w:bidi="ar"/>
          <w14:textFill>
            <w14:solidFill>
              <w14:schemeClr w14:val="tx1"/>
            </w14:solidFill>
          </w14:textFill>
        </w:rPr>
      </w:pPr>
      <w:r>
        <w:rPr>
          <w:rFonts w:hint="eastAsia" w:ascii="仿宋_GB2312" w:hAnsi="仿宋_GB2312" w:eastAsia="仿宋_GB2312" w:cs="仿宋_GB2312"/>
          <w:color w:val="000000" w:themeColor="text1"/>
          <w:sz w:val="30"/>
          <w:szCs w:val="30"/>
          <w:lang w:bidi="ar"/>
          <w14:textFill>
            <w14:solidFill>
              <w14:schemeClr w14:val="tx1"/>
            </w14:solidFill>
          </w14:textFill>
        </w:rPr>
        <w:t>5、发现和培养各类文学艺术人才，不断壮大文艺队伍。</w:t>
      </w:r>
    </w:p>
    <w:p>
      <w:pPr>
        <w:ind w:firstLine="600" w:firstLineChars="200"/>
        <w:rPr>
          <w:rFonts w:ascii="仿宋_GB2312" w:hAnsi="仿宋_GB2312" w:eastAsia="仿宋_GB2312" w:cs="仿宋_GB2312"/>
          <w:color w:val="000000" w:themeColor="text1"/>
          <w:sz w:val="30"/>
          <w:szCs w:val="30"/>
          <w:lang w:bidi="ar"/>
          <w14:textFill>
            <w14:solidFill>
              <w14:schemeClr w14:val="tx1"/>
            </w14:solidFill>
          </w14:textFill>
        </w:rPr>
      </w:pPr>
      <w:r>
        <w:rPr>
          <w:rFonts w:hint="eastAsia" w:ascii="仿宋_GB2312" w:hAnsi="仿宋_GB2312" w:eastAsia="仿宋_GB2312" w:cs="仿宋_GB2312"/>
          <w:color w:val="000000" w:themeColor="text1"/>
          <w:sz w:val="30"/>
          <w:szCs w:val="30"/>
          <w:lang w:bidi="ar"/>
          <w14:textFill>
            <w14:solidFill>
              <w14:schemeClr w14:val="tx1"/>
            </w14:solidFill>
          </w14:textFill>
        </w:rPr>
        <w:t>6、加强对外文学艺术交流。</w:t>
      </w:r>
    </w:p>
    <w:p>
      <w:pPr>
        <w:ind w:firstLine="600" w:firstLineChars="200"/>
        <w:rPr>
          <w:rFonts w:ascii="仿宋_GB2312" w:hAnsi="仿宋_GB2312" w:eastAsia="仿宋_GB2312" w:cs="仿宋_GB2312"/>
          <w:color w:val="000000" w:themeColor="text1"/>
          <w:sz w:val="30"/>
          <w:szCs w:val="30"/>
          <w:lang w:bidi="ar"/>
          <w14:textFill>
            <w14:solidFill>
              <w14:schemeClr w14:val="tx1"/>
            </w14:solidFill>
          </w14:textFill>
        </w:rPr>
      </w:pPr>
      <w:r>
        <w:rPr>
          <w:rFonts w:hint="eastAsia" w:ascii="仿宋_GB2312" w:hAnsi="仿宋_GB2312" w:eastAsia="仿宋_GB2312" w:cs="仿宋_GB2312"/>
          <w:color w:val="000000" w:themeColor="text1"/>
          <w:sz w:val="30"/>
          <w:szCs w:val="30"/>
          <w:lang w:bidi="ar"/>
          <w14:textFill>
            <w14:solidFill>
              <w14:schemeClr w14:val="tx1"/>
            </w14:solidFill>
          </w14:textFill>
        </w:rPr>
        <w:t>7、承办县委、县政府和上级文联交办的其他事宜。</w:t>
      </w:r>
    </w:p>
    <w:p>
      <w:pPr>
        <w:ind w:firstLine="640" w:firstLineChars="200"/>
        <w:rPr>
          <w:rFonts w:ascii="楷体" w:hAnsi="楷体" w:eastAsia="楷体" w:cstheme="minorEastAsia"/>
          <w:b/>
          <w:sz w:val="32"/>
          <w:szCs w:val="32"/>
        </w:rPr>
      </w:pPr>
      <w:r>
        <w:rPr>
          <w:rFonts w:hint="eastAsia" w:ascii="楷体" w:hAnsi="楷体" w:eastAsia="楷体" w:cstheme="minorEastAsia"/>
          <w:bCs/>
          <w:sz w:val="32"/>
          <w:szCs w:val="32"/>
        </w:rPr>
        <w:t>二、基本情况</w:t>
      </w:r>
    </w:p>
    <w:p>
      <w:pPr>
        <w:widowControl/>
        <w:spacing w:line="324" w:lineRule="atLeast"/>
        <w:ind w:left="540"/>
        <w:jc w:val="left"/>
        <w:rPr>
          <w:rFonts w:ascii="仿宋_GB2312" w:hAnsi="仿宋_GB2312" w:eastAsia="仿宋_GB2312" w:cs="仿宋_GB2312"/>
          <w:bCs/>
          <w:color w:val="333333"/>
          <w:kern w:val="0"/>
          <w:sz w:val="18"/>
          <w:szCs w:val="18"/>
        </w:rPr>
      </w:pPr>
      <w:r>
        <w:rPr>
          <w:rFonts w:hint="eastAsia" w:ascii="仿宋_GB2312" w:hAnsi="仿宋_GB2312" w:eastAsia="仿宋_GB2312" w:cs="仿宋_GB2312"/>
          <w:bCs/>
          <w:color w:val="333333"/>
          <w:kern w:val="0"/>
          <w:sz w:val="32"/>
          <w:szCs w:val="32"/>
        </w:rPr>
        <w:t>（一）机构设置情况</w:t>
      </w:r>
    </w:p>
    <w:p>
      <w:pPr>
        <w:ind w:firstLine="645"/>
        <w:rPr>
          <w:rFonts w:ascii="仿宋_GB2312" w:hAnsi="仿宋_GB2312" w:eastAsia="仿宋_GB2312" w:cs="仿宋_GB2312"/>
          <w:color w:val="5B9BD5" w:themeColor="accent1"/>
          <w:sz w:val="30"/>
          <w:szCs w:val="30"/>
          <w:lang w:bidi="ar"/>
          <w14:textFill>
            <w14:solidFill>
              <w14:schemeClr w14:val="accent1"/>
            </w14:solidFill>
          </w14:textFill>
        </w:rPr>
      </w:pPr>
      <w:r>
        <w:rPr>
          <w:rFonts w:hint="eastAsia" w:ascii="仿宋_GB2312" w:hAnsi="仿宋_GB2312" w:eastAsia="仿宋_GB2312" w:cs="仿宋_GB2312"/>
          <w:color w:val="000000" w:themeColor="text1"/>
          <w:sz w:val="30"/>
          <w:szCs w:val="30"/>
          <w:lang w:bidi="ar"/>
          <w14:textFill>
            <w14:solidFill>
              <w14:schemeClr w14:val="tx1"/>
            </w14:solidFill>
          </w14:textFill>
        </w:rPr>
        <w:t xml:space="preserve">襄垣县文学艺术界联合会设3个内设机构，分别是：综合办公室、编辑部、组联部。 </w:t>
      </w:r>
      <w:r>
        <w:rPr>
          <w:rFonts w:hint="eastAsia" w:ascii="仿宋_GB2312" w:hAnsi="仿宋_GB2312" w:eastAsia="仿宋_GB2312" w:cs="仿宋_GB2312"/>
          <w:color w:val="5B9BD5" w:themeColor="accent1"/>
          <w:sz w:val="30"/>
          <w:szCs w:val="30"/>
          <w:lang w:bidi="ar"/>
          <w14:textFill>
            <w14:solidFill>
              <w14:schemeClr w14:val="accent1"/>
            </w14:solidFill>
          </w14:textFill>
        </w:rPr>
        <w:t xml:space="preserve">   </w:t>
      </w:r>
    </w:p>
    <w:p>
      <w:pPr>
        <w:widowControl/>
        <w:spacing w:line="324" w:lineRule="atLeast"/>
        <w:ind w:left="540"/>
        <w:jc w:val="left"/>
        <w:rPr>
          <w:rFonts w:ascii="仿宋" w:hAnsi="仿宋" w:eastAsia="仿宋" w:cs="宋体"/>
          <w:bCs/>
          <w:color w:val="333333"/>
          <w:kern w:val="0"/>
          <w:sz w:val="32"/>
          <w:szCs w:val="32"/>
        </w:rPr>
      </w:pPr>
      <w:r>
        <w:rPr>
          <w:rFonts w:hint="eastAsia" w:ascii="仿宋_GB2312" w:hAnsi="仿宋_GB2312" w:eastAsia="仿宋_GB2312" w:cs="仿宋_GB2312"/>
          <w:bCs/>
          <w:color w:val="333333"/>
          <w:kern w:val="0"/>
          <w:sz w:val="32"/>
          <w:szCs w:val="32"/>
        </w:rPr>
        <w:t>（二）人员情况说明</w:t>
      </w:r>
    </w:p>
    <w:p>
      <w:pPr>
        <w:ind w:firstLine="645"/>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现有参公、事业编制8名，实有7人，其中参公人员6名，事业人员1名。</w:t>
      </w:r>
    </w:p>
    <w:p>
      <w:pPr>
        <w:ind w:firstLine="640" w:firstLineChars="200"/>
        <w:rPr>
          <w:rFonts w:ascii="黑体" w:hAnsi="黑体" w:eastAsia="黑体" w:cstheme="minorEastAsia"/>
          <w:color w:val="C00000"/>
          <w:sz w:val="32"/>
          <w:szCs w:val="32"/>
        </w:rPr>
      </w:pPr>
      <w:r>
        <w:rPr>
          <w:rFonts w:hint="eastAsia" w:ascii="黑体" w:hAnsi="黑体" w:eastAsia="黑体" w:cstheme="minorEastAsia"/>
          <w:sz w:val="32"/>
          <w:szCs w:val="32"/>
        </w:rPr>
        <w:t>三、预算收支增减变化情况说明</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本单位2020年度收入、支出预算总计160.88万元，与上年相比收、支预算总计各</w:t>
      </w:r>
      <w:bookmarkStart w:id="0" w:name="_Hlk73595718"/>
      <w:bookmarkStart w:id="1" w:name="_Hlk73602098"/>
      <w:r>
        <w:rPr>
          <w:rFonts w:hint="eastAsia" w:ascii="仿宋_GB2312" w:hAnsi="仿宋_GB2312" w:eastAsia="仿宋_GB2312" w:cs="仿宋_GB2312"/>
          <w:color w:val="000000" w:themeColor="text1"/>
          <w:sz w:val="32"/>
          <w:szCs w:val="32"/>
          <w:lang w:bidi="ar"/>
          <w14:textFill>
            <w14:solidFill>
              <w14:schemeClr w14:val="tx1"/>
            </w14:solidFill>
          </w14:textFill>
        </w:rPr>
        <w:t>增加</w:t>
      </w:r>
      <w:bookmarkEnd w:id="0"/>
      <w:r>
        <w:rPr>
          <w:rFonts w:hint="eastAsia" w:ascii="仿宋_GB2312" w:hAnsi="仿宋_GB2312" w:eastAsia="仿宋_GB2312" w:cs="仿宋_GB2312"/>
          <w:color w:val="000000" w:themeColor="text1"/>
          <w:sz w:val="32"/>
          <w:szCs w:val="32"/>
          <w:lang w:bidi="ar"/>
          <w14:textFill>
            <w14:solidFill>
              <w14:schemeClr w14:val="tx1"/>
            </w14:solidFill>
          </w14:textFill>
        </w:rPr>
        <w:t>2.86万元，</w:t>
      </w:r>
      <w:bookmarkStart w:id="2" w:name="_Hlk73595737"/>
      <w:r>
        <w:rPr>
          <w:rFonts w:hint="eastAsia" w:ascii="仿宋_GB2312" w:hAnsi="仿宋_GB2312" w:eastAsia="仿宋_GB2312" w:cs="仿宋_GB2312"/>
          <w:color w:val="000000" w:themeColor="text1"/>
          <w:sz w:val="32"/>
          <w:szCs w:val="32"/>
          <w:lang w:bidi="ar"/>
          <w14:textFill>
            <w14:solidFill>
              <w14:schemeClr w14:val="tx1"/>
            </w14:solidFill>
          </w14:textFill>
        </w:rPr>
        <w:t>增加</w:t>
      </w:r>
      <w:bookmarkEnd w:id="2"/>
      <w:r>
        <w:rPr>
          <w:rFonts w:hint="eastAsia" w:ascii="仿宋_GB2312" w:hAnsi="仿宋_GB2312" w:eastAsia="仿宋_GB2312" w:cs="仿宋_GB2312"/>
          <w:color w:val="000000" w:themeColor="text1"/>
          <w:sz w:val="32"/>
          <w:szCs w:val="32"/>
          <w:lang w:bidi="ar"/>
          <w14:textFill>
            <w14:solidFill>
              <w14:schemeClr w14:val="tx1"/>
            </w14:solidFill>
          </w14:textFill>
        </w:rPr>
        <w:t>3.69%。</w:t>
      </w:r>
      <w:bookmarkEnd w:id="1"/>
      <w:r>
        <w:rPr>
          <w:rFonts w:hint="eastAsia" w:ascii="仿宋_GB2312" w:hAnsi="仿宋_GB2312" w:eastAsia="仿宋_GB2312" w:cs="仿宋_GB2312"/>
          <w:color w:val="000000" w:themeColor="text1"/>
          <w:sz w:val="32"/>
          <w:szCs w:val="32"/>
          <w:lang w:bidi="ar"/>
          <w14:textFill>
            <w14:solidFill>
              <w14:schemeClr w14:val="tx1"/>
            </w14:solidFill>
          </w14:textFill>
        </w:rPr>
        <w:t>主要原因是</w:t>
      </w:r>
      <w:bookmarkStart w:id="3" w:name="_Hlk73626404"/>
      <w:r>
        <w:rPr>
          <w:rFonts w:hint="eastAsia" w:ascii="仿宋_GB2312" w:hAnsi="仿宋_GB2312" w:eastAsia="仿宋_GB2312" w:cs="仿宋_GB2312"/>
          <w:color w:val="000000" w:themeColor="text1"/>
          <w:sz w:val="32"/>
          <w:szCs w:val="32"/>
          <w:lang w:bidi="ar"/>
          <w14:textFill>
            <w14:solidFill>
              <w14:schemeClr w14:val="tx1"/>
            </w14:solidFill>
          </w14:textFill>
        </w:rPr>
        <w:t>工资统发</w:t>
      </w:r>
      <w:bookmarkEnd w:id="3"/>
      <w:r>
        <w:rPr>
          <w:rFonts w:hint="eastAsia" w:ascii="仿宋_GB2312" w:hAnsi="仿宋_GB2312" w:eastAsia="仿宋_GB2312" w:cs="仿宋_GB2312"/>
          <w:color w:val="000000" w:themeColor="text1"/>
          <w:sz w:val="32"/>
          <w:szCs w:val="32"/>
          <w:lang w:bidi="ar"/>
          <w14:textFill>
            <w14:solidFill>
              <w14:schemeClr w14:val="tx1"/>
            </w14:solidFill>
          </w14:textFill>
        </w:rPr>
        <w:t>人员增加。</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（一）收入预算总计80.44万元。包括：</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1．财政拨款收入预算总计80.44万元。</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（1）一般公共预算收入预算80.44万元，与上年相比增加2.86万元，增加3.69%。主要原因是</w:t>
      </w:r>
      <w:bookmarkStart w:id="4" w:name="_Hlk73597272"/>
      <w:r>
        <w:rPr>
          <w:rFonts w:hint="eastAsia" w:ascii="仿宋_GB2312" w:hAnsi="仿宋_GB2312" w:eastAsia="仿宋_GB2312" w:cs="仿宋_GB2312"/>
          <w:color w:val="000000" w:themeColor="text1"/>
          <w:sz w:val="32"/>
          <w:szCs w:val="32"/>
          <w:lang w:bidi="ar"/>
          <w14:textFill>
            <w14:solidFill>
              <w14:schemeClr w14:val="tx1"/>
            </w14:solidFill>
          </w14:textFill>
        </w:rPr>
        <w:t>工资统发人员增加。</w:t>
      </w:r>
    </w:p>
    <w:bookmarkEnd w:id="4"/>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（2）政府性基金收入预算0万元，主要原因是本单位本年度无此项目预算。</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2．财政专户管理资金收入预算总计0万元，主要原因是本单位本年度无此项目预算。</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3．其他资金收入预算总计0万元，主要原因是本单位本年度无此项目预算。</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4．上年结转资金预算数为0万元，主要原因是本单位本年度无此项目预算。</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（二）支出预算总计80.44万元。包括：</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1．一般公共服务（类）支出80.44万元，主要用于人员工资、公积金、社会保障和公用经费等支出。与上年相比增加2.86万元，增加3.69%。主要原因是工资统发人员增加。</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2．公共安全（类）支出0万元，主要原因是本单位本年度无此项目预算。</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3．此外，基本支出预算数为0万元，主要原因是本单位本年度无此项目预算。</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项目支出预算数为0万元，要原因是本单位本年度无此项目预算。</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单位预留机动经费预算数为0万元，主要原因是本单位本年度无此项目预算。</w:t>
      </w:r>
    </w:p>
    <w:p>
      <w:pPr>
        <w:ind w:firstLine="645"/>
        <w:rPr>
          <w:rFonts w:ascii="楷体" w:hAnsi="楷体" w:eastAsia="楷体" w:cstheme="minorEastAsia"/>
          <w:bCs/>
          <w:sz w:val="32"/>
          <w:szCs w:val="32"/>
        </w:rPr>
      </w:pPr>
      <w:r>
        <w:rPr>
          <w:rFonts w:hint="eastAsia" w:ascii="楷体" w:hAnsi="楷体" w:eastAsia="楷体" w:cstheme="minorEastAsia"/>
          <w:bCs/>
          <w:sz w:val="32"/>
          <w:szCs w:val="32"/>
        </w:rPr>
        <w:t>四、机关运行经费安排情况说明</w:t>
      </w:r>
    </w:p>
    <w:p>
      <w:pPr>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本单位机关运行经费支出预算数为7.57万元，较2019年减少1万元，其中：办公费支出1.2</w:t>
      </w:r>
      <w:r>
        <w:rPr>
          <w:rFonts w:ascii="仿宋_GB2312" w:hAnsi="仿宋_GB2312" w:eastAsia="仿宋_GB2312" w:cs="仿宋_GB2312"/>
          <w:color w:val="000000" w:themeColor="text1"/>
          <w:sz w:val="32"/>
          <w:szCs w:val="32"/>
          <w14:textFill>
            <w14:solidFill>
              <w14:schemeClr w14:val="tx1"/>
            </w14:solidFill>
          </w14:textFill>
        </w:rPr>
        <w:t>8</w:t>
      </w:r>
      <w:r>
        <w:rPr>
          <w:rFonts w:hint="eastAsia" w:ascii="仿宋_GB2312" w:hAnsi="仿宋_GB2312" w:eastAsia="仿宋_GB2312" w:cs="仿宋_GB2312"/>
          <w:color w:val="000000" w:themeColor="text1"/>
          <w:sz w:val="32"/>
          <w:szCs w:val="32"/>
          <w14:textFill>
            <w14:solidFill>
              <w14:schemeClr w14:val="tx1"/>
            </w14:solidFill>
          </w14:textFill>
        </w:rPr>
        <w:t>万元、劳务费支出0.98万元、福利费支出0.3万元等。主要增减变化情况：办公经费增加，劳务费减少和福利费减少等。</w:t>
      </w:r>
    </w:p>
    <w:p>
      <w:pPr>
        <w:ind w:firstLine="640" w:firstLineChars="200"/>
        <w:rPr>
          <w:rFonts w:ascii="楷体" w:hAnsi="楷体" w:eastAsia="楷体" w:cstheme="minorEastAsia"/>
          <w:bCs/>
          <w:sz w:val="32"/>
          <w:szCs w:val="32"/>
        </w:rPr>
      </w:pPr>
      <w:r>
        <w:rPr>
          <w:rFonts w:hint="eastAsia" w:ascii="仿宋_GB2312" w:eastAsia="仿宋_GB2312" w:hAnsiTheme="minorEastAsia" w:cstheme="minorEastAsia"/>
          <w:sz w:val="32"/>
          <w:szCs w:val="32"/>
        </w:rPr>
        <w:t>五、</w:t>
      </w:r>
      <w:r>
        <w:rPr>
          <w:rFonts w:hint="eastAsia" w:ascii="楷体" w:hAnsi="楷体" w:eastAsia="楷体" w:cstheme="minorEastAsia"/>
          <w:bCs/>
          <w:sz w:val="32"/>
          <w:szCs w:val="32"/>
        </w:rPr>
        <w:t>政府采购安排情况说明</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本单位2020年度政府采购安排0万元，主</w:t>
      </w:r>
      <w:r>
        <w:rPr>
          <w:rFonts w:hint="eastAsia" w:ascii="仿宋_GB2312" w:hAnsi="仿宋_GB2312" w:eastAsia="仿宋_GB2312" w:cs="仿宋_GB2312"/>
          <w:color w:val="000000" w:themeColor="text1"/>
          <w:sz w:val="32"/>
          <w:szCs w:val="32"/>
          <w:lang w:bidi="ar"/>
          <w14:textFill>
            <w14:solidFill>
              <w14:schemeClr w14:val="tx1"/>
            </w14:solidFill>
          </w14:textFill>
        </w:rPr>
        <w:t>要原因是本单位本年度无此项目预算。</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六、对专业性较强的名词进行解释</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（一）财政拨款收入：指单位本年度从本级财政部门取得的财政拨款，包括一般公共预算财政拨款和政府性基金预算财政拨款。</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（二）上级补助收入：指事业单位从主管部门和上级单位取得的非财政补助收入。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（四）经营收入：指事业单位在专业业务活动及其辅助活动之外开展非独立核算经营活动取得的收入。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（五）附属单位缴款：指事业单位附属独立核算单位按照有关规定上缴的收入。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（六）其他收入：指单位取得的除上述“财政拨款收入”、“事业收入”、“经营收入”、“附属单位缴款”等以外的各项收入。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（七）用事业基金弥补收支差额：指事业单位用事业基金弥补当年收支差额的数额。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（八）年初结转和结余：指单位上年结转本年使用的基本支出结转、项目支出结转和结余和经营结余。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（十）年末结转和结余资金：指单位结转下年的基本支出结转、项目支出结转和结余和经营结余。</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（十一）基本支出：指为保障机构正常运转、完成日常工作任务而发生的人员支出和公用支出。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（十二）项目支出：指在基本支出之外为完成特定的行政任务或事业发展目标所发生的支出。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（十三）上缴上级支出：指事业单位按照财政部门和主管部门的规定上缴上级单位的支出。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（十四）经营支出：指事业单位在专业业务活动及其辅助活动之外开展非独立核算经营活动发生的支出。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（十五）对附属单位补助支出：指事业单位用财政补助收入之外的收入对附属单位补助发生的支出。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七、国有资产占用情况说明</w:t>
      </w:r>
    </w:p>
    <w:p>
      <w:pPr>
        <w:pStyle w:val="4"/>
        <w:widowControl/>
        <w:spacing w:before="150" w:beforeAutospacing="0" w:after="150" w:afterAutospacing="0" w:line="465" w:lineRule="atLeast"/>
        <w:ind w:firstLine="555"/>
        <w:jc w:val="both"/>
        <w:rPr>
          <w:rFonts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截止2019年12月31日，本单位资产总额5.74万元，其中流动资产 1.24万元，固定资产 4.5万元，在建工程 0万元，无形资产 0万元。固定资产当中，房屋构筑物 0万元，汽车 0辆0 万元，单价200万元以上大型设备价值  0万元，其他固定资产0 万元。 </w:t>
      </w:r>
    </w:p>
    <w:p>
      <w:pPr>
        <w:pStyle w:val="4"/>
        <w:widowControl/>
        <w:spacing w:before="150" w:beforeAutospacing="0" w:after="150" w:afterAutospacing="0" w:line="465" w:lineRule="atLeast"/>
        <w:ind w:firstLine="555"/>
        <w:jc w:val="both"/>
        <w:rPr>
          <w:rFonts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与上年相比，本年资产总额减少0.3 万元。 </w:t>
      </w:r>
    </w:p>
    <w:p>
      <w:pPr>
        <w:ind w:firstLine="640" w:firstLineChars="200"/>
        <w:rPr>
          <w:rFonts w:ascii="楷体" w:hAnsi="楷体" w:eastAsia="楷体" w:cstheme="minorEastAsia"/>
          <w:bCs/>
          <w:sz w:val="32"/>
          <w:szCs w:val="32"/>
        </w:rPr>
      </w:pPr>
      <w:r>
        <w:rPr>
          <w:rFonts w:hint="eastAsia" w:ascii="楷体" w:hAnsi="楷体" w:eastAsia="楷体" w:cstheme="minorEastAsia"/>
          <w:bCs/>
          <w:sz w:val="32"/>
          <w:szCs w:val="32"/>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香园》文学季刊，全年编印4期</w:t>
      </w:r>
      <w:r>
        <w:rPr>
          <w:rFonts w:hint="eastAsia" w:ascii="仿宋" w:hAnsi="仿宋" w:eastAsia="仿宋" w:cs="仿宋"/>
          <w:color w:val="000000" w:themeColor="text1"/>
          <w:sz w:val="32"/>
          <w:szCs w:val="32"/>
          <w:lang w:eastAsia="zh-CN"/>
          <w14:textFill>
            <w14:solidFill>
              <w14:schemeClr w14:val="tx1"/>
            </w14:solidFill>
          </w14:textFill>
        </w:rPr>
        <w:t>，本单位保证出版的进度、印刷质量及群众的满意度</w:t>
      </w:r>
      <w:r>
        <w:rPr>
          <w:rFonts w:hint="eastAsia"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sz w:val="32"/>
          <w:szCs w:val="32"/>
        </w:rPr>
        <w:t>并认真做好对外赠送和交流的工作。</w:t>
      </w:r>
    </w:p>
    <w:p>
      <w:pPr>
        <w:ind w:firstLine="640" w:firstLineChars="200"/>
        <w:rPr>
          <w:rFonts w:ascii="楷体" w:hAnsi="楷体" w:eastAsia="楷体" w:cstheme="minorEastAsia"/>
          <w:bCs/>
          <w:sz w:val="32"/>
          <w:szCs w:val="32"/>
        </w:rPr>
      </w:pPr>
      <w:bookmarkStart w:id="5" w:name="_GoBack"/>
      <w:bookmarkEnd w:id="5"/>
      <w:r>
        <w:rPr>
          <w:rFonts w:hint="eastAsia" w:ascii="楷体" w:hAnsi="楷体" w:eastAsia="楷体" w:cstheme="minorEastAsia"/>
          <w:bCs/>
          <w:sz w:val="32"/>
          <w:szCs w:val="32"/>
        </w:rPr>
        <w:t>九、一般公共预算“三公”经费支出增减变化原因等说明</w:t>
      </w:r>
    </w:p>
    <w:p>
      <w:pPr>
        <w:ind w:firstLine="645"/>
        <w:rPr>
          <w:rFonts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本单位2020年度一般公共预算“三公”经费预算数为 0万元，主</w:t>
      </w:r>
      <w:r>
        <w:rPr>
          <w:rFonts w:hint="eastAsia" w:ascii="仿宋_GB2312" w:hAnsi="仿宋_GB2312" w:eastAsia="仿宋_GB2312" w:cs="仿宋_GB2312"/>
          <w:color w:val="000000" w:themeColor="text1"/>
          <w:sz w:val="32"/>
          <w:szCs w:val="32"/>
          <w:lang w:bidi="ar"/>
          <w14:textFill>
            <w14:solidFill>
              <w14:schemeClr w14:val="tx1"/>
            </w14:solidFill>
          </w14:textFill>
        </w:rPr>
        <w:t>要原因是本单位本年度无此项目预算。</w:t>
      </w:r>
    </w:p>
    <w:p>
      <w:pPr>
        <w:ind w:firstLine="640" w:firstLineChars="200"/>
        <w:rPr>
          <w:rFonts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本单位本年度无此项预算，故无此项说明。</w:t>
      </w:r>
    </w:p>
    <w:p>
      <w:pPr>
        <w:rPr>
          <w:rFonts w:ascii="仿宋_GB2312" w:hAnsi="仿宋_GB2312" w:eastAsia="仿宋_GB2312" w:cs="仿宋_GB2312"/>
          <w:color w:val="000000" w:themeColor="text1"/>
          <w:sz w:val="32"/>
          <w:szCs w:val="32"/>
          <w14:textFill>
            <w14:solidFill>
              <w14:schemeClr w14:val="tx1"/>
            </w14:solidFill>
          </w14:textFill>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090133"/>
    <w:rsid w:val="000F16B8"/>
    <w:rsid w:val="0011026C"/>
    <w:rsid w:val="00121209"/>
    <w:rsid w:val="00127ECB"/>
    <w:rsid w:val="001330DE"/>
    <w:rsid w:val="001C0185"/>
    <w:rsid w:val="002A78F3"/>
    <w:rsid w:val="002B74C9"/>
    <w:rsid w:val="002D5B79"/>
    <w:rsid w:val="002F49BB"/>
    <w:rsid w:val="003343CB"/>
    <w:rsid w:val="00356142"/>
    <w:rsid w:val="00481790"/>
    <w:rsid w:val="005B6619"/>
    <w:rsid w:val="005E703D"/>
    <w:rsid w:val="005F2480"/>
    <w:rsid w:val="00643BE9"/>
    <w:rsid w:val="00696E76"/>
    <w:rsid w:val="006C43BC"/>
    <w:rsid w:val="006E3ECF"/>
    <w:rsid w:val="006F1793"/>
    <w:rsid w:val="00702745"/>
    <w:rsid w:val="00723486"/>
    <w:rsid w:val="00751A1A"/>
    <w:rsid w:val="00760ADC"/>
    <w:rsid w:val="007634B0"/>
    <w:rsid w:val="00785491"/>
    <w:rsid w:val="00835152"/>
    <w:rsid w:val="008524E1"/>
    <w:rsid w:val="008934C9"/>
    <w:rsid w:val="008B060E"/>
    <w:rsid w:val="008C542A"/>
    <w:rsid w:val="008D5CA9"/>
    <w:rsid w:val="008E492C"/>
    <w:rsid w:val="009436C0"/>
    <w:rsid w:val="009552D2"/>
    <w:rsid w:val="009B61BA"/>
    <w:rsid w:val="009B6471"/>
    <w:rsid w:val="009E5493"/>
    <w:rsid w:val="00A61D97"/>
    <w:rsid w:val="00AE3A58"/>
    <w:rsid w:val="00B5020D"/>
    <w:rsid w:val="00B84099"/>
    <w:rsid w:val="00B854A4"/>
    <w:rsid w:val="00BD7E57"/>
    <w:rsid w:val="00C61D23"/>
    <w:rsid w:val="00C91007"/>
    <w:rsid w:val="00CC30DB"/>
    <w:rsid w:val="00CF14FA"/>
    <w:rsid w:val="00D10F37"/>
    <w:rsid w:val="00D25442"/>
    <w:rsid w:val="00D74D85"/>
    <w:rsid w:val="00DB273C"/>
    <w:rsid w:val="00E217E5"/>
    <w:rsid w:val="00E74F60"/>
    <w:rsid w:val="00F605E8"/>
    <w:rsid w:val="014A06B6"/>
    <w:rsid w:val="01742A72"/>
    <w:rsid w:val="019509B2"/>
    <w:rsid w:val="01DA336E"/>
    <w:rsid w:val="0255046A"/>
    <w:rsid w:val="05E42E29"/>
    <w:rsid w:val="061E09E3"/>
    <w:rsid w:val="06A43BA7"/>
    <w:rsid w:val="087A6196"/>
    <w:rsid w:val="0A7E30DA"/>
    <w:rsid w:val="0C5A5250"/>
    <w:rsid w:val="0C64513E"/>
    <w:rsid w:val="0DE649EC"/>
    <w:rsid w:val="0EE25EB1"/>
    <w:rsid w:val="0FE067A0"/>
    <w:rsid w:val="10CB3E8D"/>
    <w:rsid w:val="11F35FF2"/>
    <w:rsid w:val="179A58B8"/>
    <w:rsid w:val="18916584"/>
    <w:rsid w:val="1B4A6025"/>
    <w:rsid w:val="1C3A257E"/>
    <w:rsid w:val="1C541E5A"/>
    <w:rsid w:val="1DF453AF"/>
    <w:rsid w:val="1E107510"/>
    <w:rsid w:val="1E643EFE"/>
    <w:rsid w:val="209E0EC3"/>
    <w:rsid w:val="22140CC1"/>
    <w:rsid w:val="24D63713"/>
    <w:rsid w:val="2A937DAC"/>
    <w:rsid w:val="2DB60033"/>
    <w:rsid w:val="2F754CA8"/>
    <w:rsid w:val="2FB928F6"/>
    <w:rsid w:val="341824CB"/>
    <w:rsid w:val="343F3937"/>
    <w:rsid w:val="34D53928"/>
    <w:rsid w:val="37015ED3"/>
    <w:rsid w:val="39E01B38"/>
    <w:rsid w:val="3CC976E8"/>
    <w:rsid w:val="3F5C42DA"/>
    <w:rsid w:val="41EE06AB"/>
    <w:rsid w:val="43E475B8"/>
    <w:rsid w:val="44464920"/>
    <w:rsid w:val="458B37F5"/>
    <w:rsid w:val="467D2DBE"/>
    <w:rsid w:val="48832669"/>
    <w:rsid w:val="48E87EB6"/>
    <w:rsid w:val="4A4F3891"/>
    <w:rsid w:val="4AFA4BB2"/>
    <w:rsid w:val="4D9B3CEE"/>
    <w:rsid w:val="4EBA5260"/>
    <w:rsid w:val="522F50B0"/>
    <w:rsid w:val="52567629"/>
    <w:rsid w:val="52D54DBE"/>
    <w:rsid w:val="582B68F4"/>
    <w:rsid w:val="5D083F24"/>
    <w:rsid w:val="5D306324"/>
    <w:rsid w:val="60860A87"/>
    <w:rsid w:val="60B46440"/>
    <w:rsid w:val="615250FF"/>
    <w:rsid w:val="61C6166E"/>
    <w:rsid w:val="635C762A"/>
    <w:rsid w:val="670C00FF"/>
    <w:rsid w:val="6FD93AE0"/>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DF0247-DB54-4EA1-8135-8597368C2D6D}">
  <ds:schemaRefs/>
</ds:datastoreItem>
</file>

<file path=docProps/app.xml><?xml version="1.0" encoding="utf-8"?>
<Properties xmlns="http://schemas.openxmlformats.org/officeDocument/2006/extended-properties" xmlns:vt="http://schemas.openxmlformats.org/officeDocument/2006/docPropsVTypes">
  <Template>Normal</Template>
  <Pages>1</Pages>
  <Words>372</Words>
  <Characters>2127</Characters>
  <Lines>17</Lines>
  <Paragraphs>4</Paragraphs>
  <TotalTime>0</TotalTime>
  <ScaleCrop>false</ScaleCrop>
  <LinksUpToDate>false</LinksUpToDate>
  <CharactersWithSpaces>2495</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漂流木</cp:lastModifiedBy>
  <cp:lastPrinted>2021-06-03T01:50:00Z</cp:lastPrinted>
  <dcterms:modified xsi:type="dcterms:W3CDTF">2021-06-03T10:05:29Z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F8AC168E0CDC4D6BBB411B7F957A1AF8</vt:lpwstr>
  </property>
</Properties>
</file>