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val="en-US" w:eastAsia="zh-CN"/>
        </w:rPr>
        <w:t>总工会</w:t>
      </w: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p>
    <w:p>
      <w:pPr>
        <w:jc w:val="center"/>
        <w:rPr>
          <w:rFonts w:ascii="黑体" w:hAnsi="黑体" w:eastAsia="黑体" w:cstheme="minorEastAsia"/>
          <w:sz w:val="44"/>
          <w:szCs w:val="44"/>
        </w:rPr>
      </w:pP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pStyle w:val="2"/>
        <w:numPr>
          <w:ilvl w:val="0"/>
          <w:numId w:val="0"/>
        </w:numPr>
        <w:spacing w:line="660" w:lineRule="exact"/>
        <w:ind w:firstLine="960" w:firstLineChars="300"/>
        <w:rPr>
          <w:rFonts w:hint="default"/>
          <w:color w:val="000000" w:themeColor="text1"/>
          <w:lang w:val="en-US"/>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依照《工会法》和《中国工会章程》，组织和指导全县各级工会围绕职工合法权益及重大问题进行调查研究，指导全县工会组织建设和会籍管理工作，指导基层工会开展职工之家的建设，参与和指导职工劳动保护，监察劳动保护法律法规和政策措施的贯彻执行情况，开展帮扶维权工作以及组织开展职工各项活动和开展职工教育</w:t>
      </w:r>
      <w:r>
        <w:rPr>
          <w:rFonts w:hint="eastAsia" w:ascii="仿宋_GB2312" w:eastAsia="仿宋_GB2312"/>
          <w:color w:val="000000" w:themeColor="text1"/>
          <w:sz w:val="32"/>
          <w:szCs w:val="32"/>
          <w:lang w:val="en-US" w:eastAsia="zh-CN"/>
          <w14:textFill>
            <w14:solidFill>
              <w14:schemeClr w14:val="tx1"/>
            </w14:solidFill>
          </w14:textFill>
        </w:rPr>
        <w:t>培训等工作。</w:t>
      </w:r>
    </w:p>
    <w:p>
      <w:pPr>
        <w:ind w:firstLine="643" w:firstLineChars="200"/>
        <w:rPr>
          <w:rFonts w:ascii="楷体" w:hAnsi="楷体" w:eastAsia="楷体" w:cstheme="minorEastAsia"/>
          <w:b/>
          <w:bCs w:val="0"/>
          <w:color w:val="000000" w:themeColor="text1"/>
          <w:sz w:val="32"/>
          <w:szCs w:val="32"/>
          <w14:textFill>
            <w14:solidFill>
              <w14:schemeClr w14:val="tx1"/>
            </w14:solidFill>
          </w14:textFill>
        </w:rPr>
      </w:pPr>
      <w:r>
        <w:rPr>
          <w:rFonts w:hint="eastAsia" w:ascii="楷体" w:hAnsi="楷体" w:eastAsia="楷体" w:cstheme="minorEastAsia"/>
          <w:b/>
          <w:bCs w:val="0"/>
          <w:color w:val="000000" w:themeColor="text1"/>
          <w:sz w:val="32"/>
          <w:szCs w:val="32"/>
          <w14:textFill>
            <w14:solidFill>
              <w14:schemeClr w14:val="tx1"/>
            </w14:solidFill>
          </w14:textFill>
        </w:rPr>
        <w:t>二、部门基本情况</w:t>
      </w:r>
    </w:p>
    <w:p>
      <w:pPr>
        <w:widowControl/>
        <w:spacing w:line="324" w:lineRule="atLeast"/>
        <w:ind w:left="540"/>
        <w:jc w:val="left"/>
        <w:rPr>
          <w:rFonts w:hint="eastAsia" w:ascii="仿宋_GB2312" w:hAnsi="楷体" w:eastAsia="仿宋_GB2312" w:cs="宋体"/>
          <w:b w:val="0"/>
          <w:bCs/>
          <w:color w:val="000000" w:themeColor="text1"/>
          <w:kern w:val="0"/>
          <w:sz w:val="18"/>
          <w:szCs w:val="18"/>
          <w:lang w:eastAsia="zh-CN"/>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（一）</w:t>
      </w:r>
      <w:r>
        <w:rPr>
          <w:rFonts w:hint="eastAsia" w:ascii="仿宋_GB2312" w:hAnsi="楷体" w:eastAsia="仿宋_GB2312" w:cs="宋体"/>
          <w:b w:val="0"/>
          <w:bCs/>
          <w:color w:val="000000" w:themeColor="text1"/>
          <w:kern w:val="0"/>
          <w:sz w:val="32"/>
          <w:szCs w:val="32"/>
          <w:lang w:eastAsia="zh-CN"/>
          <w14:textFill>
            <w14:solidFill>
              <w14:schemeClr w14:val="tx1"/>
            </w14:solidFill>
          </w14:textFill>
        </w:rPr>
        <w:t>机构设置情况</w:t>
      </w:r>
    </w:p>
    <w:p>
      <w:pPr>
        <w:pStyle w:val="2"/>
        <w:numPr>
          <w:ilvl w:val="0"/>
          <w:numId w:val="0"/>
        </w:numPr>
        <w:spacing w:line="660" w:lineRule="exact"/>
        <w:ind w:firstLine="640" w:firstLineChars="200"/>
        <w:rPr>
          <w:rFonts w:hint="eastAsia" w:ascii="仿宋_GB2312" w:hAnsi="仿宋" w:eastAsia="仿宋_GB2312" w:cstheme="minorEastAsia"/>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单位内设7部2室1中心，即组织部、宣教部、生产劳保部、民管部、财务部、女工部、法保部、办公室、经审办、困难职工帮扶中心等部室。全县现有基层工会361个，工会会员39710人。</w:t>
      </w:r>
    </w:p>
    <w:p>
      <w:pPr>
        <w:widowControl/>
        <w:spacing w:line="324" w:lineRule="atLeast"/>
        <w:ind w:left="540"/>
        <w:jc w:val="left"/>
        <w:rPr>
          <w:rFonts w:ascii="仿宋_GB2312" w:hAnsi="楷体" w:eastAsia="仿宋_GB2312" w:cs="宋体"/>
          <w:b w:val="0"/>
          <w:bCs/>
          <w:color w:val="000000" w:themeColor="text1"/>
          <w:kern w:val="0"/>
          <w:sz w:val="32"/>
          <w:szCs w:val="32"/>
          <w14:textFill>
            <w14:solidFill>
              <w14:schemeClr w14:val="tx1"/>
            </w14:solidFill>
          </w14:textFill>
        </w:rPr>
      </w:pPr>
      <w:r>
        <w:rPr>
          <w:rFonts w:hint="eastAsia" w:ascii="仿宋_GB2312" w:hAnsi="楷体" w:eastAsia="仿宋_GB2312" w:cs="宋体"/>
          <w:b w:val="0"/>
          <w:bCs/>
          <w:color w:val="000000" w:themeColor="text1"/>
          <w:kern w:val="0"/>
          <w:sz w:val="32"/>
          <w:szCs w:val="32"/>
          <w14:textFill>
            <w14:solidFill>
              <w14:schemeClr w14:val="tx1"/>
            </w14:solidFill>
          </w14:textFill>
        </w:rPr>
        <w:t>（二）人员情况说明</w:t>
      </w:r>
    </w:p>
    <w:p>
      <w:pPr>
        <w:pStyle w:val="2"/>
        <w:numPr>
          <w:ilvl w:val="0"/>
          <w:numId w:val="0"/>
        </w:numPr>
        <w:spacing w:line="660" w:lineRule="exact"/>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我单位现有</w:t>
      </w:r>
      <w:r>
        <w:rPr>
          <w:rFonts w:hint="eastAsia" w:ascii="仿宋_GB2312" w:eastAsia="仿宋_GB2312"/>
          <w:color w:val="000000" w:themeColor="text1"/>
          <w:sz w:val="32"/>
          <w:szCs w:val="32"/>
          <w:lang w:val="en-US" w:eastAsia="zh-CN"/>
          <w14:textFill>
            <w14:solidFill>
              <w14:schemeClr w14:val="tx1"/>
            </w14:solidFill>
          </w14:textFill>
        </w:rPr>
        <w:t>在职</w:t>
      </w:r>
      <w:r>
        <w:rPr>
          <w:rFonts w:hint="eastAsia" w:ascii="仿宋_GB2312" w:eastAsia="仿宋_GB2312"/>
          <w:color w:val="000000" w:themeColor="text1"/>
          <w:sz w:val="32"/>
          <w:szCs w:val="32"/>
          <w:lang w:eastAsia="zh-CN"/>
          <w14:textFill>
            <w14:solidFill>
              <w14:schemeClr w14:val="tx1"/>
            </w14:solidFill>
          </w14:textFill>
        </w:rPr>
        <w:t>职工</w:t>
      </w:r>
      <w:r>
        <w:rPr>
          <w:rFonts w:hint="eastAsia" w:ascii="仿宋_GB2312" w:eastAsia="仿宋_GB2312"/>
          <w:color w:val="000000" w:themeColor="text1"/>
          <w:sz w:val="32"/>
          <w:szCs w:val="32"/>
          <w:lang w:val="en-US" w:eastAsia="zh-CN"/>
          <w14:textFill>
            <w14:solidFill>
              <w14:schemeClr w14:val="tx1"/>
            </w14:solidFill>
          </w14:textFill>
        </w:rPr>
        <w:t>25人，其中行政编制6人，工勤编制1名。现有行政人员4人，工勤人员1人，聘用社会化工作者20人（根据晋工发【2017】62号规定）。单位设主席（人大副主任）1人，常务副主席（党组书记）1人，副主席（党组成员）2人，退休人员6人。编制内行政人员实行机关工资制度，财政统一直接支付，其他人员经费以及公用经费来源于工会经费。</w:t>
      </w:r>
    </w:p>
    <w:p>
      <w:pPr>
        <w:ind w:firstLine="640" w:firstLineChars="200"/>
        <w:rPr>
          <w:rFonts w:hint="eastAsia" w:ascii="黑体" w:hAnsi="黑体" w:eastAsia="黑体" w:cstheme="minorEastAsia"/>
          <w:color w:val="000000" w:themeColor="text1"/>
          <w:sz w:val="32"/>
          <w:szCs w:val="32"/>
          <w:lang w:eastAsia="zh-CN"/>
          <w14:textFill>
            <w14:solidFill>
              <w14:schemeClr w14:val="tx1"/>
            </w14:solidFill>
          </w14:textFill>
        </w:rPr>
      </w:pPr>
      <w:r>
        <w:rPr>
          <w:rFonts w:hint="eastAsia" w:ascii="黑体" w:hAnsi="黑体" w:eastAsia="黑体" w:cstheme="minorEastAsia"/>
          <w:color w:val="000000" w:themeColor="text1"/>
          <w:sz w:val="32"/>
          <w:szCs w:val="32"/>
          <w:lang w:eastAsia="zh-CN"/>
          <w14:textFill>
            <w14:solidFill>
              <w14:schemeClr w14:val="tx1"/>
            </w14:solidFill>
          </w14:textFill>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襄垣县总工会2020年度收入、支出预算总计62.3 万元，与上年相比收、支预算总计各减少11.7 万元，减少15 %。主要原因是人员变动。其中：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  62.3  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  62.3  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 62.3 万元，与上年相比减少 11.7万元，减少15 %。主要</w:t>
      </w:r>
      <w:bookmarkStart w:id="0" w:name="_GoBack"/>
      <w:bookmarkEnd w:id="0"/>
      <w:r>
        <w:rPr>
          <w:rFonts w:hint="eastAsia" w:ascii="仿宋" w:hAnsi="仿宋" w:eastAsia="仿宋" w:cs="仿宋_GB2312"/>
          <w:color w:val="000000" w:themeColor="text1"/>
          <w:kern w:val="2"/>
          <w:sz w:val="32"/>
          <w:szCs w:val="32"/>
          <w:lang w:val="en-US" w:eastAsia="zh-CN" w:bidi="ar"/>
          <w14:textFill>
            <w14:solidFill>
              <w14:schemeClr w14:val="tx1"/>
            </w14:solidFill>
          </w14:textFill>
        </w:rPr>
        <w:t>原因是主要原因是人员变动等原因。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 0 万元，与上年相比增加（减少） 万元，增长（减少） 0 %。主要原因是我单位无政府性基金收入。</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 0 万元。与上年相比增加（减少）  0 万元，增长（减少）0  %。主要原因是我单位无政府性基金收入。</w:t>
      </w:r>
    </w:p>
    <w:p>
      <w:pPr>
        <w:ind w:firstLine="640" w:firstLineChars="200"/>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   0万元。与上年相比增加（减少） 0 万元，增长（减少）0  %。主要原因是我单位无其他资金收入。</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  0 万元。与上年相比增加（减少）0 万元，增长0（减少）  %。主要原因是我单位上年无结转资金。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 62.3 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1．一般公共服务（类）支出62.3 万元，主要用于人员支出54.9万元、对个人和家庭补助支出0.06万元、商品和服务性支出7.3万元。与上年相比减少11.7万元，主要原因是人员变动等。</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 0 万元，与上年相比增加（减少）0  万元，增长（减少）0  %。主要原因是我单位无此项支出。</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 0 万元，主要原因是我单位无结转资金。</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此外，基本支出预算数为62.3  万元。与上年相比减少   11.7万元，减少  %。主要原因是人员变动等原因。</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 0万元。与上年相比增加0万元，增长0 %。主要原因是无项目支出预算。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 0 万元。与上年相比增加（减少）0 万元，增长（减少） 0  %。主要原因是我单位无预留机动经费。</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四</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 万元，较2019年增加（减少） 0 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 万元</w:t>
      </w:r>
      <w:r>
        <w:rPr>
          <w:rFonts w:hint="eastAsia" w:ascii="仿宋_GB2312" w:eastAsia="仿宋_GB2312" w:hAnsiTheme="minorEastAsia" w:cstheme="minorEastAsia"/>
          <w:color w:val="000000" w:themeColor="text1"/>
          <w:sz w:val="32"/>
          <w:szCs w:val="32"/>
          <w14:textFill>
            <w14:solidFill>
              <w14:schemeClr w14:val="tx1"/>
            </w14:solidFill>
          </w14:textFill>
        </w:rPr>
        <w:t>、印刷费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 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 万元</w:t>
      </w:r>
      <w:r>
        <w:rPr>
          <w:rFonts w:hint="eastAsia" w:ascii="仿宋_GB2312" w:eastAsia="仿宋_GB2312" w:hAnsiTheme="minorEastAsia" w:cstheme="minorEastAsia"/>
          <w:color w:val="000000" w:themeColor="text1"/>
          <w:sz w:val="32"/>
          <w:szCs w:val="32"/>
          <w14:textFill>
            <w14:solidFill>
              <w14:schemeClr w14:val="tx1"/>
            </w14:solidFill>
          </w14:textFill>
        </w:rPr>
        <w:t>等。</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我单位无此项预算。</w:t>
      </w:r>
    </w:p>
    <w:p>
      <w:pPr>
        <w:ind w:firstLine="640" w:firstLineChars="200"/>
        <w:rPr>
          <w:rFonts w:hint="eastAsia" w:ascii="楷体" w:hAnsi="楷体" w:eastAsia="楷体" w:cstheme="minorEastAsia"/>
          <w:b w:val="0"/>
          <w:bCs/>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楷体" w:hAnsi="楷体" w:eastAsia="楷体" w:cstheme="minorEastAsia"/>
          <w:b w:val="0"/>
          <w:bCs/>
          <w:color w:val="000000" w:themeColor="text1"/>
          <w:sz w:val="32"/>
          <w:szCs w:val="32"/>
          <w14:textFill>
            <w14:solidFill>
              <w14:schemeClr w14:val="tx1"/>
            </w14:solidFill>
          </w14:textFill>
        </w:rPr>
        <w:t>政府采购</w:t>
      </w:r>
      <w:r>
        <w:rPr>
          <w:rFonts w:hint="eastAsia" w:ascii="楷体" w:hAnsi="楷体" w:eastAsia="楷体" w:cstheme="minorEastAsia"/>
          <w:b w:val="0"/>
          <w:bCs/>
          <w:color w:val="000000" w:themeColor="text1"/>
          <w:sz w:val="32"/>
          <w:szCs w:val="32"/>
          <w:lang w:eastAsia="zh-CN"/>
          <w14:textFill>
            <w14:solidFill>
              <w14:schemeClr w14:val="tx1"/>
            </w14:solidFill>
          </w14:textFill>
        </w:rPr>
        <w:t>安排</w:t>
      </w:r>
      <w:r>
        <w:rPr>
          <w:rFonts w:hint="eastAsia" w:ascii="楷体" w:hAnsi="楷体" w:eastAsia="楷体" w:cstheme="minorEastAsia"/>
          <w:b w:val="0"/>
          <w:bCs/>
          <w:color w:val="000000" w:themeColor="text1"/>
          <w:sz w:val="32"/>
          <w:szCs w:val="32"/>
          <w14:textFill>
            <w14:solidFill>
              <w14:schemeClr w14:val="tx1"/>
            </w14:solidFill>
          </w14:textFill>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六</w:t>
      </w:r>
      <w:r>
        <w:rPr>
          <w:rFonts w:hint="eastAsia" w:ascii="楷体" w:hAnsi="楷体" w:eastAsia="楷体" w:cstheme="minorEastAsia"/>
          <w:b w:val="0"/>
          <w:bCs/>
          <w:color w:val="000000" w:themeColor="text1"/>
          <w:sz w:val="32"/>
          <w:szCs w:val="32"/>
          <w14:textFill>
            <w14:solidFill>
              <w14:schemeClr w14:val="tx1"/>
            </w14:solidFill>
          </w14:textFill>
        </w:rPr>
        <w:t>、</w:t>
      </w:r>
      <w:r>
        <w:rPr>
          <w:rFonts w:hint="eastAsia" w:ascii="楷体" w:hAnsi="楷体" w:eastAsia="楷体" w:cstheme="minorEastAsia"/>
          <w:b w:val="0"/>
          <w:bCs/>
          <w:color w:val="000000" w:themeColor="text1"/>
          <w:sz w:val="32"/>
          <w:szCs w:val="32"/>
          <w:lang w:eastAsia="zh-CN"/>
          <w14:textFill>
            <w14:solidFill>
              <w14:schemeClr w14:val="tx1"/>
            </w14:solidFill>
          </w14:textFill>
        </w:rPr>
        <w:t>对专业性较强的名词进行解释</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（一）</w:t>
      </w:r>
      <w:r>
        <w:rPr>
          <w:rFonts w:hint="eastAsia" w:ascii="仿宋_GB2312" w:eastAsia="仿宋_GB2312" w:hAnsiTheme="minorEastAsia" w:cstheme="minorEastAsia"/>
          <w:color w:val="000000" w:themeColor="text1"/>
          <w:sz w:val="32"/>
          <w:szCs w:val="32"/>
          <w14:textFill>
            <w14:solidFill>
              <w14:schemeClr w14:val="tx1"/>
            </w14:solidFill>
          </w14:textFill>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（二）</w:t>
      </w:r>
      <w:r>
        <w:rPr>
          <w:rFonts w:hint="eastAsia" w:ascii="仿宋_GB2312" w:eastAsia="仿宋_GB2312" w:hAnsiTheme="minorEastAsia" w:cstheme="minorEastAsia"/>
          <w:color w:val="000000" w:themeColor="text1"/>
          <w:sz w:val="32"/>
          <w:szCs w:val="32"/>
          <w14:textFill>
            <w14:solidFill>
              <w14:schemeClr w14:val="tx1"/>
            </w14:solidFill>
          </w14:textFill>
        </w:rPr>
        <w:t>上级补助收入：指事业单位从主管部门和上级单位取得的非财政补助收入。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（三）</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（四）</w:t>
      </w:r>
      <w:r>
        <w:rPr>
          <w:rFonts w:hint="eastAsia" w:ascii="仿宋_GB2312" w:eastAsia="仿宋_GB2312" w:hAnsiTheme="minorEastAsia" w:cstheme="minorEastAsia"/>
          <w:color w:val="000000" w:themeColor="text1"/>
          <w:sz w:val="32"/>
          <w:szCs w:val="32"/>
          <w14:textFill>
            <w14:solidFill>
              <w14:schemeClr w14:val="tx1"/>
            </w14:solidFill>
          </w14:textFill>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（五）</w:t>
      </w:r>
      <w:r>
        <w:rPr>
          <w:rFonts w:hint="eastAsia" w:ascii="仿宋_GB2312" w:eastAsia="仿宋_GB2312" w:hAnsiTheme="minorEastAsia" w:cstheme="minorEastAsia"/>
          <w:color w:val="000000" w:themeColor="text1"/>
          <w:sz w:val="32"/>
          <w:szCs w:val="32"/>
          <w14:textFill>
            <w14:solidFill>
              <w14:schemeClr w14:val="tx1"/>
            </w14:solidFill>
          </w14:textFill>
        </w:rPr>
        <w:t>附属单位缴款：指事业单位附属独立核算单位按照有关规定上缴的收入。</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（六）</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（七）</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（八）</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（九）</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（十）</w:t>
      </w:r>
      <w:r>
        <w:rPr>
          <w:rFonts w:hint="eastAsia" w:ascii="仿宋_GB2312" w:eastAsia="仿宋_GB2312" w:hAnsiTheme="minorEastAsia" w:cstheme="minorEastAsia"/>
          <w:color w:val="000000" w:themeColor="text1"/>
          <w:sz w:val="32"/>
          <w:szCs w:val="32"/>
          <w14:textFill>
            <w14:solidFill>
              <w14:schemeClr w14:val="tx1"/>
            </w14:solidFill>
          </w14:textFill>
        </w:rPr>
        <w:t>年末结转和结余资金：指单位结转下年的基本支出结转、项目支出结转和结余和经营结余。</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十一</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十二</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十三</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十四</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十五</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十七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eastAsia="zh-CN"/>
          <w14:textFill>
            <w14:solidFill>
              <w14:schemeClr w14:val="tx1"/>
            </w14:solidFill>
          </w14:textFill>
        </w:rPr>
        <w:t>七、国有</w:t>
      </w:r>
      <w:r>
        <w:rPr>
          <w:rFonts w:hint="eastAsia" w:ascii="楷体" w:hAnsi="楷体" w:eastAsia="楷体" w:cstheme="minorEastAsia"/>
          <w:b w:val="0"/>
          <w:bCs/>
          <w:color w:val="000000" w:themeColor="text1"/>
          <w:sz w:val="32"/>
          <w:szCs w:val="32"/>
          <w:lang w:val="en-US" w:eastAsia="zh-CN"/>
          <w14:textFill>
            <w14:solidFill>
              <w14:schemeClr w14:val="tx1"/>
            </w14:solidFill>
          </w14:textFill>
        </w:rPr>
        <w:t>资产占用情况说明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截止20</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年12月31日，</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本单位</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资产总额</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万元，其中流动资产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万元，在建工程</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万元，无形资产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w:t>
      </w:r>
      <w:r>
        <w:rPr>
          <w:rFonts w:hint="eastAsia" w:ascii="仿宋_GB2312" w:hAnsi="仿宋_GB2312" w:eastAsia="仿宋_GB2312" w:cs="仿宋_GB2312"/>
          <w:color w:val="000000" w:themeColor="text1"/>
          <w:sz w:val="32"/>
          <w:szCs w:val="32"/>
          <w:shd w:val="clear" w:color="auto" w:fill="FFFFFF"/>
          <w:lang w:eastAsia="zh-CN"/>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固定资产当中，房屋构筑物</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万元，汽车</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辆</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万元，单价200万元以上大型设备价值</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0  </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万元，其他固定资产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pP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与上年相比，本年资产总额增加</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 xml:space="preserve"> 0</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万元。 </w:t>
      </w:r>
    </w:p>
    <w:p>
      <w:pPr>
        <w:ind w:firstLine="640" w:firstLineChars="200"/>
        <w:rPr>
          <w:rFonts w:hint="eastAsia" w:ascii="楷体" w:hAnsi="楷体" w:eastAsia="楷体" w:cstheme="minorEastAsia"/>
          <w:b w:val="0"/>
          <w:bCs/>
          <w:color w:val="000000" w:themeColor="text1"/>
          <w:sz w:val="32"/>
          <w:szCs w:val="32"/>
          <w:lang w:val="en-US"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八、重点项目预算的绩效目标等预算绩效情况说明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我单位本年度项目支出 0 万元，其中：重点项目支出  0万元。</w:t>
      </w:r>
    </w:p>
    <w:p>
      <w:pPr>
        <w:ind w:firstLine="640" w:firstLineChars="200"/>
        <w:rPr>
          <w:rFonts w:hint="eastAsia" w:ascii="楷体" w:hAnsi="楷体" w:eastAsia="楷体" w:cstheme="minorEastAsia"/>
          <w:b w:val="0"/>
          <w:bCs/>
          <w:color w:val="000000" w:themeColor="text1"/>
          <w:sz w:val="32"/>
          <w:szCs w:val="32"/>
          <w:lang w:eastAsia="zh-CN"/>
          <w14:textFill>
            <w14:solidFill>
              <w14:schemeClr w14:val="tx1"/>
            </w14:solidFill>
          </w14:textFill>
        </w:rPr>
      </w:pPr>
      <w:r>
        <w:rPr>
          <w:rFonts w:hint="eastAsia" w:ascii="楷体" w:hAnsi="楷体" w:eastAsia="楷体" w:cstheme="minorEastAsia"/>
          <w:b w:val="0"/>
          <w:bCs/>
          <w:color w:val="000000" w:themeColor="text1"/>
          <w:sz w:val="32"/>
          <w:szCs w:val="32"/>
          <w:lang w:val="en-US" w:eastAsia="zh-CN"/>
          <w14:textFill>
            <w14:solidFill>
              <w14:schemeClr w14:val="tx1"/>
            </w14:solidFill>
          </w14:textFill>
        </w:rPr>
        <w:t>九、</w:t>
      </w:r>
      <w:r>
        <w:rPr>
          <w:rFonts w:hint="eastAsia" w:ascii="楷体" w:hAnsi="楷体" w:eastAsia="楷体" w:cstheme="minorEastAsia"/>
          <w:b w:val="0"/>
          <w:bCs/>
          <w:color w:val="000000" w:themeColor="text1"/>
          <w:sz w:val="32"/>
          <w:szCs w:val="32"/>
          <w14:textFill>
            <w14:solidFill>
              <w14:schemeClr w14:val="tx1"/>
            </w14:solidFill>
          </w14:textFill>
        </w:rPr>
        <w:t>一般公共预算“三公”经费支出</w:t>
      </w:r>
      <w:r>
        <w:rPr>
          <w:rFonts w:hint="eastAsia" w:ascii="楷体" w:hAnsi="楷体" w:eastAsia="楷体" w:cstheme="minorEastAsia"/>
          <w:b w:val="0"/>
          <w:bCs/>
          <w:color w:val="000000" w:themeColor="text1"/>
          <w:sz w:val="32"/>
          <w:szCs w:val="32"/>
          <w:lang w:eastAsia="zh-CN"/>
          <w14:textFill>
            <w14:solidFill>
              <w14:schemeClr w14:val="tx1"/>
            </w14:solidFill>
          </w14:textFill>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　　（二）公务接待费支出年初预算数为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无此项活动</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本年度国内公务接待共</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 批次，共0 人。</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8</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楷体" w:hAnsi="楷体" w:eastAsia="楷体" w:cs="楷体"/>
          <w:color w:val="000000" w:themeColor="text1"/>
          <w:sz w:val="32"/>
          <w:szCs w:val="32"/>
          <w14:textFill>
            <w14:solidFill>
              <w14:schemeClr w14:val="tx1"/>
            </w14:solidFill>
          </w14:textFill>
        </w:rPr>
      </w:pPr>
      <w:r>
        <w:rPr>
          <w:rFonts w:hint="eastAsia" w:ascii="楷体" w:hAnsi="楷体" w:eastAsia="楷体" w:cs="楷体"/>
          <w:color w:val="000000" w:themeColor="text1"/>
          <w:sz w:val="32"/>
          <w:szCs w:val="32"/>
          <w14:textFill>
            <w14:solidFill>
              <w14:schemeClr w14:val="tx1"/>
            </w14:solidFill>
          </w14:textFill>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asciiTheme="minorEastAsia"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49009BE"/>
    <w:rsid w:val="179A58B8"/>
    <w:rsid w:val="1B4A6025"/>
    <w:rsid w:val="1BCD22F1"/>
    <w:rsid w:val="1DF453AF"/>
    <w:rsid w:val="1E107510"/>
    <w:rsid w:val="1E643EFE"/>
    <w:rsid w:val="209E0EC3"/>
    <w:rsid w:val="22140CC1"/>
    <w:rsid w:val="227C357F"/>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5E5B00D2"/>
    <w:rsid w:val="60860A87"/>
    <w:rsid w:val="60B46440"/>
    <w:rsid w:val="61C6166E"/>
    <w:rsid w:val="635C762A"/>
    <w:rsid w:val="6F564087"/>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w:basedOn w:val="1"/>
    <w:qFormat/>
    <w:uiPriority w:val="0"/>
    <w:pPr>
      <w:tabs>
        <w:tab w:val="left" w:pos="1260"/>
      </w:tabs>
      <w:ind w:left="1259" w:hanging="360"/>
    </w:pPr>
    <w:rPr>
      <w:rFonts w:ascii="黑体" w:eastAsia="黑体"/>
      <w:sz w:val="36"/>
      <w:szCs w:val="20"/>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21</TotalTime>
  <ScaleCrop>false</ScaleCrop>
  <LinksUpToDate>false</LinksUpToDate>
  <CharactersWithSpaces>3878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常畅</cp:lastModifiedBy>
  <cp:lastPrinted>2019-09-11T06:01:00Z</cp:lastPrinted>
  <dcterms:modified xsi:type="dcterms:W3CDTF">2021-06-04T03:27:33Z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