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color w:val="auto"/>
          <w:sz w:val="44"/>
          <w:szCs w:val="44"/>
        </w:rPr>
      </w:pPr>
      <w:bookmarkStart w:id="0" w:name="_GoBack"/>
      <w:r>
        <w:rPr>
          <w:rFonts w:hint="eastAsia" w:ascii="黑体" w:hAnsi="黑体" w:eastAsia="黑体" w:cstheme="minorEastAsia"/>
          <w:color w:val="auto"/>
          <w:sz w:val="44"/>
          <w:szCs w:val="44"/>
          <w:lang w:eastAsia="zh-CN"/>
        </w:rPr>
        <w:t>襄垣</w:t>
      </w:r>
      <w:r>
        <w:rPr>
          <w:rFonts w:hint="eastAsia" w:ascii="黑体" w:hAnsi="黑体" w:eastAsia="黑体" w:cstheme="minorEastAsia"/>
          <w:color w:val="auto"/>
          <w:sz w:val="44"/>
          <w:szCs w:val="44"/>
        </w:rPr>
        <w:t>县</w:t>
      </w:r>
      <w:r>
        <w:rPr>
          <w:rFonts w:hint="eastAsia" w:ascii="黑体" w:hAnsi="黑体" w:eastAsia="黑体" w:cstheme="minorEastAsia"/>
          <w:color w:val="auto"/>
          <w:sz w:val="44"/>
          <w:szCs w:val="44"/>
          <w:lang w:eastAsia="zh-CN"/>
        </w:rPr>
        <w:t>应急管理局</w:t>
      </w:r>
      <w:r>
        <w:rPr>
          <w:rFonts w:hint="eastAsia" w:ascii="黑体" w:hAnsi="黑体" w:eastAsia="黑体" w:cstheme="minorEastAsia"/>
          <w:color w:val="auto"/>
          <w:sz w:val="44"/>
          <w:szCs w:val="44"/>
        </w:rPr>
        <w:t>部门</w:t>
      </w:r>
    </w:p>
    <w:p>
      <w:pPr>
        <w:jc w:val="center"/>
        <w:rPr>
          <w:rFonts w:ascii="黑体" w:hAnsi="黑体" w:eastAsia="黑体" w:cstheme="minorEastAsia"/>
          <w:color w:val="auto"/>
          <w:sz w:val="44"/>
          <w:szCs w:val="44"/>
        </w:rPr>
      </w:pPr>
      <w:r>
        <w:rPr>
          <w:rFonts w:hint="eastAsia" w:ascii="黑体" w:hAnsi="黑体" w:eastAsia="黑体" w:cstheme="minorEastAsia"/>
          <w:color w:val="auto"/>
          <w:sz w:val="44"/>
          <w:szCs w:val="44"/>
        </w:rPr>
        <w:t>20</w:t>
      </w:r>
      <w:r>
        <w:rPr>
          <w:rFonts w:hint="eastAsia" w:ascii="黑体" w:hAnsi="黑体" w:eastAsia="黑体" w:cstheme="minorEastAsia"/>
          <w:color w:val="auto"/>
          <w:sz w:val="44"/>
          <w:szCs w:val="44"/>
          <w:lang w:val="en-US" w:eastAsia="zh-CN"/>
        </w:rPr>
        <w:t>20</w:t>
      </w:r>
      <w:r>
        <w:rPr>
          <w:rFonts w:hint="eastAsia" w:ascii="黑体" w:hAnsi="黑体" w:eastAsia="黑体" w:cstheme="minorEastAsia"/>
          <w:color w:val="auto"/>
          <w:sz w:val="44"/>
          <w:szCs w:val="44"/>
        </w:rPr>
        <w:t>年部门</w:t>
      </w:r>
      <w:r>
        <w:rPr>
          <w:rFonts w:hint="eastAsia" w:ascii="黑体" w:hAnsi="黑体" w:eastAsia="黑体" w:cstheme="minorEastAsia"/>
          <w:color w:val="auto"/>
          <w:sz w:val="44"/>
          <w:szCs w:val="44"/>
          <w:lang w:eastAsia="zh-CN"/>
        </w:rPr>
        <w:t>预算</w:t>
      </w:r>
      <w:r>
        <w:rPr>
          <w:rFonts w:hint="eastAsia" w:ascii="黑体" w:hAnsi="黑体" w:eastAsia="黑体" w:cstheme="minorEastAsia"/>
          <w:color w:val="auto"/>
          <w:sz w:val="44"/>
          <w:szCs w:val="44"/>
        </w:rPr>
        <w:t>公开</w:t>
      </w:r>
      <w:r>
        <w:rPr>
          <w:rFonts w:hint="eastAsia" w:ascii="黑体" w:hAnsi="黑体" w:eastAsia="黑体" w:cstheme="minorEastAsia"/>
          <w:color w:val="auto"/>
          <w:sz w:val="44"/>
          <w:szCs w:val="44"/>
          <w:lang w:eastAsia="zh-CN"/>
        </w:rPr>
        <w:t>情况</w:t>
      </w:r>
      <w:r>
        <w:rPr>
          <w:rFonts w:hint="eastAsia" w:ascii="黑体" w:hAnsi="黑体" w:eastAsia="黑体" w:cstheme="minorEastAsia"/>
          <w:color w:val="auto"/>
          <w:sz w:val="44"/>
          <w:szCs w:val="44"/>
        </w:rPr>
        <w:t>说明</w:t>
      </w:r>
    </w:p>
    <w:p>
      <w:pPr>
        <w:ind w:firstLine="640" w:firstLineChars="200"/>
        <w:rPr>
          <w:rFonts w:asciiTheme="minorEastAsia" w:hAnsiTheme="minorEastAsia" w:cstheme="minorEastAsia"/>
          <w:color w:val="auto"/>
          <w:sz w:val="32"/>
          <w:szCs w:val="32"/>
        </w:rPr>
      </w:pPr>
      <w:r>
        <w:rPr>
          <w:rFonts w:hint="eastAsia" w:asciiTheme="minorEastAsia" w:hAnsiTheme="minorEastAsia" w:cstheme="minorEastAsia"/>
          <w:color w:val="auto"/>
          <w:sz w:val="32"/>
          <w:szCs w:val="32"/>
        </w:rPr>
        <w:t xml:space="preserve"> </w:t>
      </w:r>
    </w:p>
    <w:p>
      <w:pPr>
        <w:ind w:firstLine="643" w:firstLineChars="200"/>
        <w:rPr>
          <w:rFonts w:hint="eastAsia"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一、部门主要职能</w:t>
      </w:r>
    </w:p>
    <w:p>
      <w:pPr>
        <w:ind w:firstLine="640" w:firstLineChars="200"/>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(一)负责应急管理工作，指导各乡镇(区)、各部门应对  安全生产类、自然灾害类等突发事件和综合防灾减灾救灾工作。  负责安全生产综合监督管理和工矿商贸行业安全生产监督管理工作。</w:t>
      </w:r>
    </w:p>
    <w:p>
      <w:pPr>
        <w:ind w:firstLine="640" w:firstLineChars="200"/>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(二)贯彻执行应急管理、安全生产等方针政策和法律法规，  参与拟订相关地方标准，组织编制应急体系建设、安全生产和综  合防灾减灾规划并监督实施。</w:t>
      </w:r>
    </w:p>
    <w:p>
      <w:pPr>
        <w:ind w:firstLine="640" w:firstLineChars="200"/>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(三)指导应急预案体系建设，建立完善事故灾难和自然灾  害分级应对制度，组织编制县级总体应急预案和安全生产类、自  然灾害类专项预案，综合协调应急预案衔接工作，组织开展预案  演练，推动应急避难设施建设。</w:t>
      </w:r>
    </w:p>
    <w:p>
      <w:pPr>
        <w:ind w:firstLine="640" w:firstLineChars="200"/>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(四)牵头建立统一的应急管理信息系统，负责信息传输渠道的规划和布局，建立监测预警和灾情报告制度，健全自然灾害  信息资源获取和共享机制，依法统一发布灾情。</w:t>
      </w:r>
    </w:p>
    <w:p>
      <w:pPr>
        <w:ind w:firstLine="640" w:firstLineChars="200"/>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(五)组织指导协调安全生产类、自然灾害类等突发事件应  急救援，承担襄垣县应对重大灾害指挥部工作，综合研判突发事  件发展态势并提出应对建议，协助县委、县人民政府指定的负责  同志按权限组织灾害应急处置工作。</w:t>
      </w:r>
    </w:p>
    <w:p>
      <w:pPr>
        <w:ind w:firstLine="640" w:firstLineChars="200"/>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(六)统一协调指挥各类应急专业队伍，建立应急协调联动  机制，推进指挥平台对接，衔接驻县解放军和武警部队参与应急  救援工作。</w:t>
      </w:r>
    </w:p>
    <w:p>
      <w:pPr>
        <w:ind w:firstLine="640" w:firstLineChars="200"/>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(七)统筹消防、森林和草原(地)火灾扑救、抗洪抢险、  地震和地质灾害救援、生产安全事故救援等专业应急救援力量建  设，管理县级应急救援队伍，指导各乡镇(区)及社会应急救援  力量建设。</w:t>
      </w:r>
    </w:p>
    <w:p>
      <w:pPr>
        <w:ind w:firstLine="640" w:firstLineChars="200"/>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(八)组织指导消防监督、火灾预防、火灾扑救等工作。  (九)  指导协调森林和草原(地)火灾、水旱灾害、地震和  地质灾害等防治工作，负责自然灾害综合监测预警工作，指导开  展自然灾害综合风险评估工作。</w:t>
      </w:r>
    </w:p>
    <w:p>
      <w:pPr>
        <w:ind w:firstLine="640" w:firstLineChars="200"/>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(十)组织协调灾害救助工作，组织指导灾情核查、损失评  估、救灾捐赠工作，管理、分配中央、省级、市级划拨和县级救  灾款物并监督使用。</w:t>
      </w:r>
    </w:p>
    <w:p>
      <w:pPr>
        <w:ind w:firstLine="640" w:firstLineChars="200"/>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(十一)依法行使安全生产综合监督管理职权，指导协调、  监督检查县有关部门、单位和各乡镇(区)人民政府安全生产工作，组织开展安全生产巡查、考核工作。</w:t>
      </w:r>
    </w:p>
    <w:p>
      <w:pPr>
        <w:ind w:firstLine="640" w:firstLineChars="200"/>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(十工)按照分级、属地原则，负责监督管理工矿商贸行业  企业安全生产工作，依法监督检查工矿商贸生产经营单位贯彻执  行安全生产法律法规情况及其安全生产条件和有关设备(特种设  备除外)、材料、劳动防护用品的安全生产管理工作。负责煤矿  安全监督管理工作。负责县级直接负责的洗(选)煤厂，配煤、  型煤加工企业的安全生产监督管理职责。组织实施有关安全监督  管理标准。负责危险化学品安全监督管理综合工作和烟花爆竹安  全生产监督管理工作。依法组织并指导监督实施安全生产准入制  度。</w:t>
      </w:r>
    </w:p>
    <w:p>
      <w:pPr>
        <w:ind w:firstLine="640" w:firstLineChars="200"/>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(十三)依法组织指导生产安全事故调查处理，监督事故查  处和责任追究落实情况。组织开展自然灾害类突发事件的调查评估工作。</w:t>
      </w:r>
    </w:p>
    <w:p>
      <w:pPr>
        <w:ind w:firstLine="640" w:firstLineChars="200"/>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(十四)开展应急管理方面的国际、国内交流与合作，组织  参与安全生产类、自然灾害类等突发事件的国际救援工作和省、  市、县际之间应急救援合作。</w:t>
      </w:r>
    </w:p>
    <w:p>
      <w:pPr>
        <w:ind w:firstLine="640" w:firstLineChars="200"/>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(十五)制定应急物资储备和应急救援装备规划并组织实施，  会同县发展和改革局(县粮食局)等部门建立健全全县应急物资  信息平台和调拨制度，在救灾时统一调度。</w:t>
      </w:r>
    </w:p>
    <w:p>
      <w:pPr>
        <w:ind w:firstLine="640" w:firstLineChars="200"/>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(十六)负责应急管理、安全生产宣传教育和培训工作，组  织指导应急管理、安全生产的科学技术研究、推广应用和信息化  建设工作。</w:t>
      </w:r>
    </w:p>
    <w:p>
      <w:pPr>
        <w:ind w:firstLine="643" w:firstLineChars="200"/>
        <w:rPr>
          <w:rFonts w:ascii="楷体" w:hAnsi="楷体" w:eastAsia="楷体" w:cstheme="minorEastAsia"/>
          <w:b/>
          <w:bCs w:val="0"/>
          <w:color w:val="auto"/>
          <w:sz w:val="32"/>
          <w:szCs w:val="32"/>
        </w:rPr>
      </w:pPr>
      <w:r>
        <w:rPr>
          <w:rFonts w:hint="eastAsia" w:ascii="楷体" w:hAnsi="楷体" w:eastAsia="楷体" w:cstheme="minorEastAsia"/>
          <w:b/>
          <w:bCs w:val="0"/>
          <w:color w:val="auto"/>
          <w:sz w:val="32"/>
          <w:szCs w:val="32"/>
        </w:rPr>
        <w:t>二、部门基本情况</w:t>
      </w:r>
    </w:p>
    <w:p>
      <w:pPr>
        <w:widowControl/>
        <w:spacing w:line="324" w:lineRule="atLeast"/>
        <w:ind w:left="540"/>
        <w:jc w:val="left"/>
        <w:rPr>
          <w:rFonts w:hint="eastAsia" w:ascii="仿宋_GB2312" w:hAnsi="楷体" w:eastAsia="仿宋_GB2312" w:cs="宋体"/>
          <w:b w:val="0"/>
          <w:bCs/>
          <w:color w:val="auto"/>
          <w:kern w:val="0"/>
          <w:sz w:val="18"/>
          <w:szCs w:val="18"/>
          <w:lang w:eastAsia="zh-CN"/>
        </w:rPr>
      </w:pPr>
      <w:r>
        <w:rPr>
          <w:rFonts w:hint="eastAsia" w:ascii="仿宋_GB2312" w:hAnsi="楷体" w:eastAsia="仿宋_GB2312" w:cs="宋体"/>
          <w:b w:val="0"/>
          <w:bCs/>
          <w:color w:val="auto"/>
          <w:kern w:val="0"/>
          <w:sz w:val="32"/>
          <w:szCs w:val="32"/>
        </w:rPr>
        <w:t>（一）</w:t>
      </w:r>
      <w:r>
        <w:rPr>
          <w:rFonts w:hint="eastAsia" w:ascii="仿宋_GB2312" w:hAnsi="楷体" w:eastAsia="仿宋_GB2312" w:cs="宋体"/>
          <w:b w:val="0"/>
          <w:bCs/>
          <w:color w:val="auto"/>
          <w:kern w:val="0"/>
          <w:sz w:val="32"/>
          <w:szCs w:val="32"/>
          <w:lang w:eastAsia="zh-CN"/>
        </w:rPr>
        <w:t>机构设置情况</w:t>
      </w:r>
    </w:p>
    <w:p>
      <w:pPr>
        <w:ind w:firstLine="645"/>
        <w:rPr>
          <w:rFonts w:hint="eastAsia" w:ascii="仿宋" w:hAnsi="仿宋" w:eastAsia="仿宋" w:cs="仿宋_GB2312"/>
          <w:color w:val="auto"/>
          <w:kern w:val="2"/>
          <w:sz w:val="30"/>
          <w:szCs w:val="30"/>
          <w:lang w:val="en-US" w:eastAsia="zh-CN" w:bidi="ar"/>
        </w:rPr>
      </w:pPr>
      <w:r>
        <w:rPr>
          <w:rFonts w:hint="eastAsia" w:ascii="仿宋" w:hAnsi="仿宋" w:eastAsia="仿宋" w:cs="仿宋_GB2312"/>
          <w:color w:val="auto"/>
          <w:kern w:val="2"/>
          <w:sz w:val="30"/>
          <w:szCs w:val="30"/>
          <w:lang w:val="en-US" w:eastAsia="zh-CN" w:bidi="ar"/>
        </w:rPr>
        <w:t>襄垣县应急管理局局机关内设23个职能股室、中心、职能股室、分别为：办公室、非煤股、危化股、综合监管一股、应急中心、执法大队、督查股、综合二股、财务室、法规股、煤矿安全股、洗选煤股、煤矿瓦斯治理股、自然灾害股、驻矿管理股、纠察队、煤矿水害防治股、第一五人组、第二五人组、第三五人组、矿山救护队、人事档案股、森林消防队。</w:t>
      </w:r>
      <w:r>
        <w:rPr>
          <w:rFonts w:hint="eastAsia" w:ascii="仿宋" w:hAnsi="仿宋" w:eastAsia="仿宋" w:cs="仿宋_GB2312"/>
          <w:color w:val="auto"/>
          <w:kern w:val="2"/>
          <w:sz w:val="32"/>
          <w:szCs w:val="32"/>
          <w:lang w:val="en-US" w:eastAsia="zh-CN" w:bidi="ar"/>
        </w:rPr>
        <w:t>下设安全生产监督执法大队、安全生产应急救援指挥中心、安全生产培训服务中心、煤炭纠察队、煤炭安全调动中心、防汛抗旱服务中心6个事业单位。现有行政、事业编制 75 名，其中，行政编制 15名，事业编制 60名。实有7人，其中公务员7名，，事业人员53名。</w:t>
      </w:r>
    </w:p>
    <w:p>
      <w:pPr>
        <w:widowControl/>
        <w:spacing w:line="324" w:lineRule="atLeast"/>
        <w:ind w:left="540"/>
        <w:jc w:val="left"/>
        <w:rPr>
          <w:rFonts w:ascii="仿宋_GB2312" w:hAnsi="楷体" w:eastAsia="仿宋_GB2312" w:cs="宋体"/>
          <w:b w:val="0"/>
          <w:bCs/>
          <w:color w:val="auto"/>
          <w:kern w:val="0"/>
          <w:sz w:val="32"/>
          <w:szCs w:val="32"/>
        </w:rPr>
      </w:pPr>
      <w:r>
        <w:rPr>
          <w:rFonts w:hint="eastAsia" w:ascii="仿宋_GB2312" w:hAnsi="楷体" w:eastAsia="仿宋_GB2312" w:cs="宋体"/>
          <w:b w:val="0"/>
          <w:bCs/>
          <w:color w:val="auto"/>
          <w:kern w:val="0"/>
          <w:sz w:val="32"/>
          <w:szCs w:val="32"/>
        </w:rPr>
        <w:t>（二）人员情况说明</w:t>
      </w:r>
    </w:p>
    <w:p>
      <w:pPr>
        <w:ind w:firstLine="645"/>
        <w:rPr>
          <w:rFonts w:hint="eastAsia" w:ascii="仿宋_GB2312" w:hAnsi="仿宋" w:eastAsia="仿宋_GB2312" w:cstheme="minorEastAsia"/>
          <w:color w:val="auto"/>
          <w:sz w:val="32"/>
          <w:szCs w:val="32"/>
        </w:rPr>
      </w:pPr>
      <w:r>
        <w:rPr>
          <w:rFonts w:hint="eastAsia" w:ascii="仿宋" w:hAnsi="仿宋" w:eastAsia="仿宋" w:cs="仿宋_GB2312"/>
          <w:color w:val="auto"/>
          <w:kern w:val="2"/>
          <w:sz w:val="32"/>
          <w:szCs w:val="32"/>
          <w:lang w:val="en-US" w:eastAsia="zh-CN" w:bidi="ar"/>
        </w:rPr>
        <w:t>现有行政、事业编制 75 名，其中，行政编制 15名，事业编制 60名。实有7人，其中公务员7名，，事业人员53名。</w:t>
      </w:r>
    </w:p>
    <w:p>
      <w:pPr>
        <w:ind w:firstLine="640" w:firstLineChars="200"/>
        <w:rPr>
          <w:rFonts w:hint="eastAsia" w:ascii="黑体" w:hAnsi="黑体" w:eastAsia="黑体" w:cstheme="minorEastAsia"/>
          <w:color w:val="auto"/>
          <w:sz w:val="32"/>
          <w:szCs w:val="32"/>
          <w:lang w:eastAsia="zh-CN"/>
        </w:rPr>
      </w:pPr>
      <w:r>
        <w:rPr>
          <w:rFonts w:hint="eastAsia" w:ascii="黑体" w:hAnsi="黑体" w:eastAsia="黑体" w:cstheme="minorEastAsia"/>
          <w:color w:val="auto"/>
          <w:sz w:val="32"/>
          <w:szCs w:val="32"/>
          <w:lang w:eastAsia="zh-CN"/>
        </w:rPr>
        <w:t>三、预算收支增减变化情况说明</w:t>
      </w:r>
    </w:p>
    <w:p>
      <w:pPr>
        <w:ind w:firstLine="645"/>
        <w:rPr>
          <w:rFonts w:hint="default"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应急局2020年度收入、支出预算总计436.02万元，与上年相比收、支预算总计各增加减少115.5万元，增长36 %。主要原因是机构改革重组，人员工资增加，职能增加，单位运行增加。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（一）收入预算总计218.01万元。包括：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1．财政拨款收入预算总计218.01万元。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（1）一般公共预算收入预算218.01万元，与上年相比增加57.75万元，增长36 %。主要原因：机构改革重组，人员工资增加，职能增加，单位运行增加等原因。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（2）政府性基金收入预算0万元，与上年相比增加（减少）0万元，增长（减少）0 %。</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2．财政专户管理资金收入预算总计0万元。与上年相比增加（减少）0万元，增长（减少）0%。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3．其他资金收入预算总计0万元。与上年相比增加（减少）0万元，增长（减少）0%。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4．上年结转资金预算数为0万元。与上年相比增加（减少）0万元，增长（减少0%。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（二）支出预算总计218.01万元。包括：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1．一般公共服务（类）支出218.01万元，主要用于人员工资，单位运行。与上年相比增加57.75万元，增长36%。218.01。主要原因：机构改革重组，人员工资增加，职能增加，单位运行增加等原因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2．公共安全（类）支出0万元。与上年相比增加（减少）0万元，增长（减少）0%。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3．结转下年资金预算数为0万元。</w:t>
      </w:r>
    </w:p>
    <w:p>
      <w:pPr>
        <w:ind w:firstLine="960" w:firstLineChars="300"/>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此外，基本支出预算数为218.01万元。与上年相比增加57.75万元，增长36 %。主要原因是机构改革重组，人员工资增加，职能增加，单位运行增加等原因。</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 xml:space="preserve">项目支出预算数为0万元。与上年相比增加（减少） </w:t>
      </w:r>
    </w:p>
    <w:p>
      <w:pPr>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 xml:space="preserve"> 0万元，增长（减少）0%。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单位预留机动经费预算数为0万元。与上年相比增加（减少）0万元，增长（减少）0%。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22.04万元，较2019年增加3.97万元，其中：</w:t>
      </w:r>
      <w:r>
        <w:rPr>
          <w:rFonts w:hint="eastAsia" w:ascii="仿宋_GB2312" w:eastAsia="仿宋_GB2312" w:hAnsiTheme="minorEastAsia" w:cstheme="minorEastAsia"/>
          <w:color w:val="auto"/>
          <w:sz w:val="32"/>
          <w:szCs w:val="32"/>
        </w:rPr>
        <w:t>办公费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1.5万元</w:t>
      </w:r>
      <w:r>
        <w:rPr>
          <w:rFonts w:hint="eastAsia" w:ascii="仿宋_GB2312" w:eastAsia="仿宋_GB2312" w:hAnsiTheme="minorEastAsia" w:cstheme="minorEastAsia"/>
          <w:color w:val="auto"/>
          <w:sz w:val="32"/>
          <w:szCs w:val="32"/>
        </w:rPr>
        <w:t>、印刷费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1.5万元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水电费：</w:t>
      </w:r>
      <w:r>
        <w:rPr>
          <w:rFonts w:hint="eastAsia" w:ascii="仿宋_GB2312" w:eastAsia="仿宋_GB2312" w:hAnsiTheme="minorEastAsia" w:cstheme="minorEastAsia"/>
          <w:color w:val="auto"/>
          <w:sz w:val="32"/>
          <w:szCs w:val="32"/>
          <w:lang w:val="en-US" w:eastAsia="zh-CN"/>
        </w:rPr>
        <w:t>2.2万元、取暖费：6.8万元、培训费：0.5万元、工会经费：1.6万元、福利费：1.2万元、其他交通费5.0万元、其他商品服务支出1.4万元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主要增减变化情况：办公费、印刷费增加，主要机构改革职能增加，日常办公增加。</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lang w:val="en-US" w:eastAsia="zh-CN"/>
        </w:rPr>
        <w:t>50</w:t>
      </w:r>
      <w:r>
        <w:rPr>
          <w:rFonts w:hint="eastAsia" w:ascii="仿宋_GB2312" w:eastAsia="仿宋_GB2312" w:hAnsiTheme="minorEastAsia" w:cstheme="minorEastAsia"/>
          <w:color w:val="auto"/>
          <w:sz w:val="32"/>
          <w:szCs w:val="32"/>
        </w:rPr>
        <w:t>万元，其中：政府采购货物支出0万元、政府采购工程支出0万元、政府采购服务支出</w:t>
      </w:r>
      <w:r>
        <w:rPr>
          <w:rFonts w:hint="eastAsia" w:ascii="仿宋_GB2312" w:eastAsia="仿宋_GB2312" w:hAnsiTheme="minorEastAsia" w:cstheme="minorEastAsia"/>
          <w:color w:val="auto"/>
          <w:sz w:val="32"/>
          <w:szCs w:val="32"/>
          <w:lang w:val="en-US" w:eastAsia="zh-CN"/>
        </w:rPr>
        <w:t>50</w:t>
      </w:r>
      <w:r>
        <w:rPr>
          <w:rFonts w:hint="eastAsia" w:ascii="仿宋_GB2312" w:eastAsia="仿宋_GB2312" w:hAnsiTheme="minorEastAsia" w:cstheme="minorEastAsia"/>
          <w:color w:val="auto"/>
          <w:sz w:val="32"/>
          <w:szCs w:val="32"/>
        </w:rPr>
        <w:t>万元。授予中小企业合同金额0万元，占政府采购支出总额的0%。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eastAsia="zh-CN"/>
        </w:rPr>
        <w:t>七、国有</w:t>
      </w:r>
      <w:r>
        <w:rPr>
          <w:rFonts w:hint="eastAsia" w:ascii="楷体" w:hAnsi="楷体" w:eastAsia="楷体" w:cstheme="minorEastAsia"/>
          <w:b w:val="0"/>
          <w:bCs/>
          <w:color w:val="auto"/>
          <w:sz w:val="32"/>
          <w:szCs w:val="32"/>
          <w:lang w:val="en-US" w:eastAsia="zh-CN"/>
        </w:rPr>
        <w:t>资产占用情况说明</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截止2019年12月31日，本位资产总485.56万元，其中流动产76.49万元，固定资产净值409.07万元，在建工程0万元，无形资产0万元。固定资产当中，房屋构筑物0万元，汽车30辆160.86万元单价200万元以上大型设价值0万元，其他固定资产248.21万</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与上年相比，本年产总减少加196.27万元</w:t>
      </w:r>
    </w:p>
    <w:p>
      <w:pPr>
        <w:ind w:firstLine="640" w:firstLineChars="200"/>
        <w:rPr>
          <w:rFonts w:hint="eastAsia"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八、重点项目预算的绩效目标等预算绩效情况说明</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楷体" w:hAnsi="楷体" w:eastAsia="楷体" w:cstheme="minorEastAsia"/>
          <w:b w:val="0"/>
          <w:bCs/>
          <w:color w:val="auto"/>
          <w:sz w:val="32"/>
          <w:szCs w:val="32"/>
          <w:lang w:val="en-US" w:eastAsia="zh-CN"/>
        </w:rPr>
      </w:pPr>
      <w:r>
        <w:rPr>
          <w:rFonts w:hint="eastAsia" w:ascii="楷体" w:hAnsi="楷体" w:eastAsia="楷体" w:cstheme="minorEastAsia"/>
          <w:b w:val="0"/>
          <w:bCs/>
          <w:color w:val="auto"/>
          <w:sz w:val="32"/>
          <w:szCs w:val="32"/>
          <w:lang w:val="en-US" w:eastAsia="zh-CN"/>
        </w:rPr>
        <w:t>2020年本单位重点项目为危化行业安全生产技术服务及风险管控，项目预算资金为50万元，通过政府采购招投标与有资质的第三方中介安全机构签订合同，为我县的化工企业提供安全生产技术服务和风险管控、隐患排查、本年计划分四次提供服务，每次服务覆盖全县危化生产经营企业，并对提出的隐患查改问题年前全部落实整改。</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val="en-US" w:eastAsia="zh-CN"/>
        </w:rPr>
        <w:t>九、</w:t>
      </w:r>
      <w:r>
        <w:rPr>
          <w:rFonts w:hint="eastAsia" w:ascii="楷体" w:hAnsi="楷体" w:eastAsia="楷体" w:cstheme="minorEastAsia"/>
          <w:b w:val="0"/>
          <w:bCs/>
          <w:color w:val="auto"/>
          <w:sz w:val="32"/>
          <w:szCs w:val="32"/>
        </w:rPr>
        <w:t>一般公共预算“三公”经费支出</w:t>
      </w:r>
      <w:r>
        <w:rPr>
          <w:rFonts w:hint="eastAsia" w:ascii="楷体" w:hAnsi="楷体" w:eastAsia="楷体" w:cstheme="minorEastAsia"/>
          <w:b w:val="0"/>
          <w:bCs/>
          <w:color w:val="auto"/>
          <w:sz w:val="32"/>
          <w:szCs w:val="32"/>
          <w:lang w:eastAsia="zh-CN"/>
        </w:rPr>
        <w:t>增减变化原因等说明</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年度一般公共预算“三公”经费预算数为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w:t>
      </w:r>
      <w:r>
        <w:rPr>
          <w:rFonts w:hint="eastAsia" w:ascii="仿宋_GB2312" w:eastAsia="仿宋_GB2312" w:hAnsiTheme="minorEastAsia" w:cstheme="minorEastAsia"/>
          <w:color w:val="auto"/>
          <w:sz w:val="32"/>
          <w:szCs w:val="32"/>
          <w:lang w:val="en-US" w:eastAsia="zh-CN"/>
        </w:rPr>
        <w:t xml:space="preserve"> </w:t>
      </w:r>
      <w:r>
        <w:rPr>
          <w:rFonts w:hint="eastAsia" w:ascii="仿宋_GB2312" w:eastAsia="仿宋_GB2312" w:hAnsiTheme="minorEastAsia" w:cstheme="minorEastAsia"/>
          <w:color w:val="auto"/>
          <w:sz w:val="32"/>
          <w:szCs w:val="32"/>
        </w:rPr>
        <w:t>较20</w:t>
      </w:r>
      <w:r>
        <w:rPr>
          <w:rFonts w:hint="eastAsia" w:ascii="仿宋_GB2312" w:eastAsia="仿宋_GB2312" w:hAnsiTheme="minorEastAsia" w:cstheme="minorEastAsia"/>
          <w:color w:val="auto"/>
          <w:sz w:val="32"/>
          <w:szCs w:val="32"/>
          <w:lang w:val="en-US" w:eastAsia="zh-CN"/>
        </w:rPr>
        <w:t>19</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%，其中：</w:t>
      </w:r>
    </w:p>
    <w:p>
      <w:pPr>
        <w:numPr>
          <w:ilvl w:val="0"/>
          <w:numId w:val="1"/>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因公出国（境）支出年初预算数为0万元，</w:t>
      </w:r>
      <w:r>
        <w:rPr>
          <w:rFonts w:hint="eastAsia" w:ascii="仿宋_GB2312" w:eastAsia="仿宋_GB2312" w:hAnsiTheme="minorEastAsia" w:cstheme="minorEastAsia"/>
          <w:color w:val="auto"/>
          <w:sz w:val="32"/>
          <w:szCs w:val="32"/>
          <w:lang w:eastAsia="zh-CN"/>
        </w:rPr>
        <w:t>因公出国（境）团组数为</w:t>
      </w:r>
      <w:r>
        <w:rPr>
          <w:rFonts w:hint="eastAsia" w:ascii="仿宋_GB2312" w:eastAsia="仿宋_GB2312" w:hAnsiTheme="minorEastAsia" w:cstheme="minorEastAsia"/>
          <w:color w:val="auto"/>
          <w:sz w:val="32"/>
          <w:szCs w:val="32"/>
          <w:lang w:val="en-US" w:eastAsia="zh-CN"/>
        </w:rPr>
        <w:t>0，人数为0。</w:t>
      </w:r>
      <w:r>
        <w:rPr>
          <w:rFonts w:hint="eastAsia" w:ascii="仿宋_GB2312" w:eastAsia="仿宋_GB2312" w:hAnsiTheme="minorEastAsia" w:cstheme="minorEastAsia"/>
          <w:color w:val="auto"/>
          <w:sz w:val="32"/>
          <w:szCs w:val="32"/>
        </w:rPr>
        <w:t>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年增加（减少）0万元，增长（下降）0%。</w:t>
      </w:r>
    </w:p>
    <w:p>
      <w:pPr>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　　（二）公务接待费支出年初预算数为</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8</w:t>
      </w:r>
      <w:r>
        <w:rPr>
          <w:rFonts w:hint="eastAsia" w:ascii="仿宋_GB2312" w:eastAsia="仿宋_GB2312" w:hAnsiTheme="minorEastAsia" w:cstheme="minorEastAsia"/>
          <w:color w:val="auto"/>
          <w:sz w:val="32"/>
          <w:szCs w:val="32"/>
        </w:rPr>
        <w:t>年减少</w:t>
      </w:r>
      <w:r>
        <w:rPr>
          <w:rFonts w:hint="eastAsia" w:ascii="仿宋_GB2312" w:eastAsia="仿宋_GB2312" w:hAnsiTheme="minorEastAsia" w:cstheme="minorEastAsia"/>
          <w:color w:val="auto"/>
          <w:sz w:val="32"/>
          <w:szCs w:val="32"/>
          <w:lang w:val="en-US" w:eastAsia="zh-CN"/>
        </w:rPr>
        <w:t>0</w:t>
      </w:r>
      <w:r>
        <w:rPr>
          <w:rFonts w:hint="eastAsia" w:ascii="仿宋_GB2312" w:eastAsia="仿宋_GB2312" w:hAnsiTheme="minorEastAsia" w:cstheme="minorEastAsia"/>
          <w:color w:val="auto"/>
          <w:sz w:val="32"/>
          <w:szCs w:val="32"/>
        </w:rPr>
        <w:t>万元，下降</w:t>
      </w:r>
      <w:r>
        <w:rPr>
          <w:rFonts w:hint="eastAsia" w:ascii="仿宋_GB2312" w:eastAsia="仿宋_GB2312" w:hAnsiTheme="minorEastAsia" w:cstheme="minorEastAsia"/>
          <w:color w:val="auto"/>
          <w:sz w:val="32"/>
          <w:szCs w:val="32"/>
          <w:lang w:val="en-US" w:eastAsia="zh-CN"/>
        </w:rPr>
        <w:t xml:space="preserve">0 </w:t>
      </w:r>
      <w:r>
        <w:rPr>
          <w:rFonts w:hint="eastAsia" w:ascii="仿宋_GB2312" w:eastAsia="仿宋_GB2312" w:hAnsiTheme="minorEastAsia" w:cstheme="minorEastAsia"/>
          <w:color w:val="auto"/>
          <w:sz w:val="32"/>
          <w:szCs w:val="32"/>
        </w:rPr>
        <w:t>%。</w:t>
      </w:r>
    </w:p>
    <w:p>
      <w:pPr>
        <w:ind w:firstLine="640" w:firstLineChars="200"/>
        <w:rPr>
          <w:rFonts w:hint="default" w:ascii="仿宋_GB2312" w:eastAsia="仿宋_GB2312" w:hAnsiTheme="minorEastAsia" w:cstheme="minorEastAsia"/>
          <w:color w:val="auto"/>
          <w:sz w:val="32"/>
          <w:szCs w:val="32"/>
          <w:lang w:val="en-US" w:eastAsia="zh-CN"/>
        </w:rPr>
      </w:pPr>
      <w:r>
        <w:rPr>
          <w:rFonts w:hint="eastAsia" w:ascii="仿宋_GB2312" w:eastAsia="仿宋_GB2312" w:hAnsiTheme="minorEastAsia" w:cstheme="minorEastAsia"/>
          <w:color w:val="auto"/>
          <w:sz w:val="32"/>
          <w:szCs w:val="32"/>
        </w:rPr>
        <w:t>（三）公务用车购置及运行维护费支出0万元，其中公务用车购置年初预算数为0万元，较201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年增加（减少）0万元，增长（下降）0%；公务用车运行维护费支出年初预算数为</w:t>
      </w:r>
      <w:r>
        <w:rPr>
          <w:rFonts w:hint="eastAsia" w:ascii="仿宋_GB2312" w:eastAsia="仿宋_GB2312" w:hAnsiTheme="minorEastAsia" w:cstheme="minorEastAsia"/>
          <w:color w:val="auto"/>
          <w:sz w:val="32"/>
          <w:szCs w:val="32"/>
          <w:lang w:val="en-US" w:eastAsia="zh-CN"/>
        </w:rPr>
        <w:t>26</w:t>
      </w:r>
      <w:r>
        <w:rPr>
          <w:rFonts w:hint="eastAsia" w:ascii="仿宋_GB2312" w:eastAsia="仿宋_GB2312" w:hAnsiTheme="minorEastAsia" w:cstheme="minorEastAsia"/>
          <w:color w:val="auto"/>
          <w:sz w:val="32"/>
          <w:szCs w:val="32"/>
        </w:rPr>
        <w:t>万元，较201</w:t>
      </w:r>
      <w:r>
        <w:rPr>
          <w:rFonts w:hint="eastAsia" w:ascii="仿宋_GB2312" w:eastAsia="仿宋_GB2312" w:hAnsiTheme="minorEastAsia" w:cstheme="minorEastAsia"/>
          <w:color w:val="auto"/>
          <w:sz w:val="32"/>
          <w:szCs w:val="32"/>
          <w:lang w:val="en-US" w:eastAsia="zh-CN"/>
        </w:rPr>
        <w:t>9</w:t>
      </w:r>
      <w:r>
        <w:rPr>
          <w:rFonts w:hint="eastAsia" w:ascii="仿宋_GB2312" w:eastAsia="仿宋_GB2312" w:hAnsiTheme="minorEastAsia" w:cstheme="minorEastAsia"/>
          <w:color w:val="auto"/>
          <w:sz w:val="32"/>
          <w:szCs w:val="32"/>
        </w:rPr>
        <w:t>年增加</w:t>
      </w:r>
      <w:r>
        <w:rPr>
          <w:rFonts w:hint="eastAsia" w:ascii="仿宋_GB2312" w:eastAsia="仿宋_GB2312" w:hAnsiTheme="minorEastAsia" w:cstheme="minorEastAsia"/>
          <w:color w:val="auto"/>
          <w:sz w:val="32"/>
          <w:szCs w:val="32"/>
          <w:lang w:val="en-US" w:eastAsia="zh-CN"/>
        </w:rPr>
        <w:t>26</w:t>
      </w:r>
      <w:r>
        <w:rPr>
          <w:rFonts w:hint="eastAsia" w:ascii="仿宋_GB2312" w:eastAsia="仿宋_GB2312" w:hAnsiTheme="minorEastAsia" w:cstheme="minorEastAsia"/>
          <w:color w:val="auto"/>
          <w:sz w:val="32"/>
          <w:szCs w:val="32"/>
        </w:rPr>
        <w:t>万元，增长</w:t>
      </w:r>
      <w:r>
        <w:rPr>
          <w:rFonts w:hint="eastAsia" w:ascii="仿宋_GB2312" w:eastAsia="仿宋_GB2312" w:hAnsiTheme="minorEastAsia" w:cstheme="minorEastAsia"/>
          <w:color w:val="auto"/>
          <w:sz w:val="32"/>
          <w:szCs w:val="32"/>
          <w:lang w:val="en-US" w:eastAsia="zh-CN"/>
        </w:rPr>
        <w:t>10</w:t>
      </w:r>
      <w:r>
        <w:rPr>
          <w:rFonts w:hint="eastAsia" w:ascii="仿宋_GB2312" w:eastAsia="仿宋_GB2312" w:hAnsiTheme="minorEastAsia" w:cstheme="minorEastAsia"/>
          <w:color w:val="auto"/>
          <w:sz w:val="32"/>
          <w:szCs w:val="32"/>
        </w:rPr>
        <w:t>0%。</w:t>
      </w:r>
      <w:r>
        <w:rPr>
          <w:rFonts w:hint="eastAsia" w:ascii="仿宋_GB2312" w:eastAsia="仿宋_GB2312" w:hAnsiTheme="minorEastAsia" w:cstheme="minorEastAsia"/>
          <w:color w:val="auto"/>
          <w:sz w:val="32"/>
          <w:szCs w:val="32"/>
          <w:lang w:eastAsia="zh-CN"/>
        </w:rPr>
        <w:t>本年度公务用车购置数</w:t>
      </w:r>
      <w:r>
        <w:rPr>
          <w:rFonts w:hint="eastAsia" w:ascii="仿宋_GB2312" w:eastAsia="仿宋_GB2312" w:hAnsiTheme="minorEastAsia" w:cstheme="minorEastAsia"/>
          <w:color w:val="auto"/>
          <w:sz w:val="32"/>
          <w:szCs w:val="32"/>
          <w:lang w:val="en-US" w:eastAsia="zh-CN"/>
        </w:rPr>
        <w:t>0辆，公务用车保有量30辆。</w:t>
      </w:r>
    </w:p>
    <w:p>
      <w:pPr>
        <w:ind w:firstLine="640" w:firstLineChars="200"/>
        <w:rPr>
          <w:rFonts w:hint="eastAsia" w:ascii="楷体" w:hAnsi="楷体" w:eastAsia="楷体" w:cs="楷体"/>
          <w:color w:val="auto"/>
          <w:sz w:val="32"/>
          <w:szCs w:val="32"/>
        </w:rPr>
      </w:pPr>
      <w:r>
        <w:rPr>
          <w:rFonts w:hint="eastAsia" w:ascii="楷体" w:hAnsi="楷体" w:eastAsia="楷体" w:cs="楷体"/>
          <w:color w:val="auto"/>
          <w:sz w:val="32"/>
          <w:szCs w:val="32"/>
        </w:rPr>
        <w:t>十、政府性基金预算支出预算情况说明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本单位本年度无此项预算，故无此项说明</w:t>
      </w: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p>
      <w:pPr>
        <w:ind w:firstLine="640" w:firstLineChars="200"/>
        <w:rPr>
          <w:rFonts w:asciiTheme="minorEastAsia" w:hAnsiTheme="minorEastAsia" w:cstheme="minorEastAsia"/>
          <w:color w:val="auto"/>
          <w:sz w:val="32"/>
          <w:szCs w:val="32"/>
        </w:rPr>
      </w:pPr>
    </w:p>
    <w:bookmarkEnd w:id="0"/>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77824C1"/>
    <w:rsid w:val="07F80D72"/>
    <w:rsid w:val="087A6196"/>
    <w:rsid w:val="0C5A5250"/>
    <w:rsid w:val="0C64513E"/>
    <w:rsid w:val="0DE649EC"/>
    <w:rsid w:val="0EE25EB1"/>
    <w:rsid w:val="10CB3E8D"/>
    <w:rsid w:val="11515CBF"/>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8E00383"/>
    <w:rsid w:val="7C3D2CA7"/>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6">
    <w:name w:val="Strong"/>
    <w:basedOn w:val="5"/>
    <w:qFormat/>
    <w:uiPriority w:val="0"/>
    <w:rPr>
      <w:b/>
    </w:rPr>
  </w:style>
  <w:style w:type="character" w:customStyle="1" w:styleId="8">
    <w:name w:val="页眉 字符"/>
    <w:basedOn w:val="5"/>
    <w:link w:val="3"/>
    <w:qFormat/>
    <w:uiPriority w:val="0"/>
    <w:rPr>
      <w:rFonts w:asciiTheme="minorHAnsi" w:hAnsiTheme="minorHAnsi" w:eastAsiaTheme="minorEastAsia" w:cstheme="minorBidi"/>
      <w:kern w:val="2"/>
      <w:sz w:val="18"/>
      <w:szCs w:val="18"/>
    </w:rPr>
  </w:style>
  <w:style w:type="character" w:customStyle="1" w:styleId="9">
    <w:name w:val="页脚 字符"/>
    <w:basedOn w:val="5"/>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0</TotalTime>
  <ScaleCrop>false</ScaleCrop>
  <LinksUpToDate>false</LinksUpToDate>
  <CharactersWithSpaces>3878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2021-06-03T07:22:41Z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F8AC168E0CDC4D6BBB411B7F957A1AF8</vt:lpwstr>
  </property>
</Properties>
</file>