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color w:val="auto"/>
          <w:sz w:val="44"/>
          <w:szCs w:val="44"/>
          <w:lang w:eastAsia="zh-CN"/>
        </w:rPr>
      </w:pPr>
      <w:bookmarkStart w:id="0" w:name="_GoBack"/>
    </w:p>
    <w:p>
      <w:pPr>
        <w:jc w:val="center"/>
        <w:rPr>
          <w:rFonts w:hint="eastAsia" w:ascii="方正小标宋简体" w:hAnsi="方正小标宋简体" w:eastAsia="方正小标宋简体" w:cs="方正小标宋简体"/>
          <w:color w:val="auto"/>
          <w:sz w:val="44"/>
          <w:szCs w:val="44"/>
          <w:lang w:val="en-US"/>
        </w:rPr>
      </w:pPr>
      <w:r>
        <w:rPr>
          <w:rFonts w:hint="eastAsia" w:ascii="方正小标宋简体" w:hAnsi="方正小标宋简体" w:eastAsia="方正小标宋简体" w:cs="方正小标宋简体"/>
          <w:color w:val="auto"/>
          <w:sz w:val="44"/>
          <w:szCs w:val="44"/>
          <w:lang w:eastAsia="zh-CN"/>
        </w:rPr>
        <w:t>襄垣</w:t>
      </w:r>
      <w:r>
        <w:rPr>
          <w:rFonts w:hint="eastAsia" w:ascii="方正小标宋简体" w:hAnsi="方正小标宋简体" w:eastAsia="方正小标宋简体" w:cs="方正小标宋简体"/>
          <w:color w:val="auto"/>
          <w:sz w:val="44"/>
          <w:szCs w:val="44"/>
        </w:rPr>
        <w:t>县</w:t>
      </w:r>
      <w:r>
        <w:rPr>
          <w:rFonts w:hint="eastAsia" w:ascii="方正小标宋简体" w:hAnsi="方正小标宋简体" w:eastAsia="方正小标宋简体" w:cs="方正小标宋简体"/>
          <w:color w:val="auto"/>
          <w:sz w:val="44"/>
          <w:szCs w:val="44"/>
          <w:lang w:val="en-US" w:eastAsia="zh-CN"/>
        </w:rPr>
        <w:t>人民政府招商中心</w:t>
      </w:r>
    </w:p>
    <w:p>
      <w:pPr>
        <w:jc w:val="center"/>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20</w:t>
      </w:r>
      <w:r>
        <w:rPr>
          <w:rFonts w:hint="eastAsia" w:ascii="方正小标宋简体" w:hAnsi="方正小标宋简体" w:eastAsia="方正小标宋简体" w:cs="方正小标宋简体"/>
          <w:color w:val="auto"/>
          <w:sz w:val="44"/>
          <w:szCs w:val="44"/>
          <w:lang w:val="en-US" w:eastAsia="zh-CN"/>
        </w:rPr>
        <w:t>20</w:t>
      </w:r>
      <w:r>
        <w:rPr>
          <w:rFonts w:hint="eastAsia" w:ascii="方正小标宋简体" w:hAnsi="方正小标宋简体" w:eastAsia="方正小标宋简体" w:cs="方正小标宋简体"/>
          <w:color w:val="auto"/>
          <w:sz w:val="44"/>
          <w:szCs w:val="44"/>
        </w:rPr>
        <w:t>年部门</w:t>
      </w:r>
      <w:r>
        <w:rPr>
          <w:rFonts w:hint="eastAsia" w:ascii="方正小标宋简体" w:hAnsi="方正小标宋简体" w:eastAsia="方正小标宋简体" w:cs="方正小标宋简体"/>
          <w:color w:val="auto"/>
          <w:sz w:val="44"/>
          <w:szCs w:val="44"/>
          <w:lang w:eastAsia="zh-CN"/>
        </w:rPr>
        <w:t>预算</w:t>
      </w:r>
      <w:r>
        <w:rPr>
          <w:rFonts w:hint="eastAsia" w:ascii="方正小标宋简体" w:hAnsi="方正小标宋简体" w:eastAsia="方正小标宋简体" w:cs="方正小标宋简体"/>
          <w:color w:val="auto"/>
          <w:sz w:val="44"/>
          <w:szCs w:val="44"/>
        </w:rPr>
        <w:t>公开</w:t>
      </w:r>
      <w:r>
        <w:rPr>
          <w:rFonts w:hint="eastAsia" w:ascii="方正小标宋简体" w:hAnsi="方正小标宋简体" w:eastAsia="方正小标宋简体" w:cs="方正小标宋简体"/>
          <w:color w:val="auto"/>
          <w:sz w:val="44"/>
          <w:szCs w:val="44"/>
          <w:lang w:eastAsia="zh-CN"/>
        </w:rPr>
        <w:t>情况</w:t>
      </w:r>
      <w:r>
        <w:rPr>
          <w:rFonts w:hint="eastAsia" w:ascii="方正小标宋简体" w:hAnsi="方正小标宋简体" w:eastAsia="方正小标宋简体" w:cs="方正小标宋简体"/>
          <w:color w:val="auto"/>
          <w:sz w:val="44"/>
          <w:szCs w:val="44"/>
        </w:rPr>
        <w:t>说明</w:t>
      </w:r>
    </w:p>
    <w:p>
      <w:pPr>
        <w:ind w:firstLine="640" w:firstLineChars="200"/>
        <w:rPr>
          <w:rFonts w:hint="eastAsia" w:ascii="方正小标宋简体" w:hAnsi="方正小标宋简体" w:eastAsia="方正小标宋简体" w:cs="方正小标宋简体"/>
          <w:color w:val="auto"/>
          <w:sz w:val="32"/>
          <w:szCs w:val="32"/>
        </w:rPr>
      </w:pPr>
      <w:r>
        <w:rPr>
          <w:rFonts w:hint="eastAsia" w:ascii="方正小标宋简体" w:hAnsi="方正小标宋简体" w:eastAsia="方正小标宋简体" w:cs="方正小标宋简体"/>
          <w:color w:val="auto"/>
          <w:sz w:val="32"/>
          <w:szCs w:val="32"/>
        </w:rPr>
        <w:t xml:space="preserve"> </w:t>
      </w:r>
    </w:p>
    <w:p>
      <w:pPr>
        <w:ind w:firstLine="643" w:firstLineChars="200"/>
        <w:rPr>
          <w:rFonts w:hint="eastAsia" w:ascii="楷体" w:hAnsi="楷体" w:eastAsia="楷体" w:cstheme="minorEastAsia"/>
          <w:b/>
          <w:bCs w:val="0"/>
          <w:color w:val="auto"/>
          <w:sz w:val="32"/>
          <w:szCs w:val="32"/>
        </w:rPr>
      </w:pPr>
      <w:r>
        <w:rPr>
          <w:rFonts w:hint="eastAsia" w:ascii="黑体" w:hAnsi="黑体" w:eastAsia="黑体" w:cs="黑体"/>
          <w:b/>
          <w:bCs w:val="0"/>
          <w:color w:val="auto"/>
          <w:sz w:val="32"/>
          <w:szCs w:val="32"/>
        </w:rPr>
        <w:t>一、部门主要职能</w:t>
      </w:r>
    </w:p>
    <w:p>
      <w:pPr>
        <w:pStyle w:val="4"/>
        <w:spacing w:before="0" w:beforeAutospacing="0" w:after="0" w:afterAutospacing="0"/>
        <w:ind w:firstLine="640" w:firstLineChars="200"/>
        <w:jc w:val="both"/>
        <w:rPr>
          <w:rFonts w:ascii="仿宋" w:hAnsi="仿宋" w:eastAsia="仿宋" w:cs="仿宋"/>
          <w:color w:val="auto"/>
          <w:sz w:val="32"/>
          <w:szCs w:val="32"/>
          <w:shd w:val="clear" w:color="auto" w:fill="FFFFFF"/>
        </w:rPr>
      </w:pPr>
      <w:r>
        <w:rPr>
          <w:rFonts w:ascii="仿宋" w:hAnsi="仿宋" w:eastAsia="仿宋" w:cs="仿宋"/>
          <w:color w:val="auto"/>
          <w:sz w:val="32"/>
          <w:szCs w:val="32"/>
          <w:shd w:val="clear" w:color="auto" w:fill="FFFFFF"/>
        </w:rPr>
        <w:t>单位主要职责：为全县招商引资提供服务。具体为：1.建立全县招商引资项目库；2.协助制定全县招商引资优惠政策和考核、奖惩办法；3.统筹、协调全县招商引资工作；4.组织专门队伍抓好招商引资工作，负责参加各类会展、洽谈活动的组织工作；5.做好招商引资项目前期对接工作。 </w:t>
      </w:r>
    </w:p>
    <w:p>
      <w:pPr>
        <w:pStyle w:val="4"/>
        <w:spacing w:before="0" w:beforeAutospacing="0" w:after="0" w:afterAutospacing="0"/>
        <w:ind w:firstLine="600" w:firstLineChars="200"/>
        <w:jc w:val="both"/>
        <w:rPr>
          <w:rFonts w:ascii="楷体" w:hAnsi="楷体" w:eastAsia="楷体" w:cstheme="minorEastAsia"/>
          <w:b/>
          <w:bCs w:val="0"/>
          <w:color w:val="auto"/>
          <w:sz w:val="32"/>
          <w:szCs w:val="32"/>
        </w:rPr>
      </w:pPr>
      <w:r>
        <w:rPr>
          <w:rFonts w:hint="eastAsia" w:ascii="黑体" w:hAnsi="黑体" w:eastAsia="黑体" w:cs="黑体"/>
          <w:color w:val="auto"/>
          <w:sz w:val="30"/>
          <w:szCs w:val="30"/>
          <w:shd w:val="clear" w:color="auto" w:fill="FFFFFF"/>
        </w:rPr>
        <w:t> </w:t>
      </w:r>
      <w:r>
        <w:rPr>
          <w:rFonts w:hint="eastAsia" w:ascii="黑体" w:hAnsi="黑体" w:eastAsia="黑体" w:cs="黑体"/>
          <w:b/>
          <w:bCs w:val="0"/>
          <w:color w:val="auto"/>
          <w:sz w:val="32"/>
          <w:szCs w:val="32"/>
        </w:rPr>
        <w:t>二、部门基本情况</w:t>
      </w:r>
    </w:p>
    <w:p>
      <w:pPr>
        <w:widowControl/>
        <w:spacing w:line="324" w:lineRule="atLeast"/>
        <w:ind w:left="540"/>
        <w:jc w:val="left"/>
        <w:rPr>
          <w:rFonts w:hint="eastAsia" w:ascii="仿宋_GB2312" w:hAnsi="楷体" w:eastAsia="仿宋_GB2312" w:cs="宋体"/>
          <w:b w:val="0"/>
          <w:bCs/>
          <w:color w:val="auto"/>
          <w:kern w:val="0"/>
          <w:sz w:val="18"/>
          <w:szCs w:val="18"/>
          <w:lang w:eastAsia="zh-CN"/>
        </w:rPr>
      </w:pPr>
      <w:r>
        <w:rPr>
          <w:rFonts w:hint="eastAsia" w:ascii="楷体" w:hAnsi="楷体" w:eastAsia="楷体" w:cs="楷体"/>
          <w:b w:val="0"/>
          <w:bCs/>
          <w:color w:val="auto"/>
          <w:kern w:val="0"/>
          <w:sz w:val="32"/>
          <w:szCs w:val="32"/>
        </w:rPr>
        <w:t>（一）</w:t>
      </w:r>
      <w:r>
        <w:rPr>
          <w:rFonts w:hint="eastAsia" w:ascii="楷体" w:hAnsi="楷体" w:eastAsia="楷体" w:cs="楷体"/>
          <w:b w:val="0"/>
          <w:bCs/>
          <w:color w:val="auto"/>
          <w:kern w:val="0"/>
          <w:sz w:val="32"/>
          <w:szCs w:val="32"/>
          <w:lang w:eastAsia="zh-CN"/>
        </w:rPr>
        <w:t>机构设置情况</w:t>
      </w:r>
    </w:p>
    <w:p>
      <w:pPr>
        <w:ind w:firstLine="645"/>
        <w:rPr>
          <w:rFonts w:hint="eastAsia" w:ascii="仿宋_GB2312" w:hAnsi="仿宋" w:eastAsia="仿宋_GB2312" w:cstheme="minorEastAsia"/>
          <w:color w:val="auto"/>
          <w:sz w:val="32"/>
          <w:szCs w:val="32"/>
        </w:rPr>
      </w:pPr>
      <w:r>
        <w:rPr>
          <w:rFonts w:hint="eastAsia" w:ascii="仿宋" w:hAnsi="仿宋" w:eastAsia="仿宋"/>
          <w:color w:val="auto"/>
          <w:sz w:val="32"/>
          <w:szCs w:val="32"/>
        </w:rPr>
        <w:t>根据上述职责，我单位设两个机构：办公室（主要负责本单位日常工作：会议组织、档案、信息、图书资料、后勤、财务等及上级交办的其他工作。）；项目科（主要负责本单位项目库的建立、整理、管理、制定引资政策、考核办法、产业引导、以及上级交办的其他工作。）。</w:t>
      </w:r>
    </w:p>
    <w:p>
      <w:pPr>
        <w:ind w:firstLine="640" w:firstLineChars="200"/>
        <w:rPr>
          <w:rFonts w:ascii="仿宋_GB2312" w:hAnsi="楷体" w:eastAsia="仿宋_GB2312" w:cs="宋体"/>
          <w:b w:val="0"/>
          <w:bCs/>
          <w:color w:val="auto"/>
          <w:kern w:val="0"/>
          <w:sz w:val="32"/>
          <w:szCs w:val="32"/>
        </w:rPr>
      </w:pPr>
      <w:r>
        <w:rPr>
          <w:rFonts w:hint="eastAsia" w:ascii="楷体" w:hAnsi="楷体" w:eastAsia="楷体" w:cs="楷体"/>
          <w:b w:val="0"/>
          <w:bCs/>
          <w:color w:val="auto"/>
          <w:kern w:val="0"/>
          <w:sz w:val="32"/>
          <w:szCs w:val="32"/>
        </w:rPr>
        <w:t>（二）人员情况说明</w:t>
      </w:r>
    </w:p>
    <w:p>
      <w:pPr>
        <w:ind w:firstLine="645"/>
        <w:rPr>
          <w:rFonts w:hint="eastAsia" w:ascii="仿宋_GB2312" w:hAnsi="仿宋" w:eastAsia="仿宋_GB2312" w:cstheme="minorEastAsia"/>
          <w:color w:val="auto"/>
          <w:sz w:val="32"/>
          <w:szCs w:val="32"/>
        </w:rPr>
      </w:pPr>
      <w:r>
        <w:rPr>
          <w:rFonts w:ascii="仿宋" w:hAnsi="仿宋" w:eastAsia="仿宋" w:cs="仿宋"/>
          <w:color w:val="auto"/>
          <w:sz w:val="32"/>
          <w:szCs w:val="32"/>
          <w:shd w:val="clear" w:color="auto" w:fill="FFFFFF"/>
        </w:rPr>
        <w:t>襄垣县人民政府招商中心（挂牌招商局）成立于2003年7月，属全额财政拔款参公事业单位，正科级建制，事业编制9名，科级领导职数3名，科员职数6名，归口</w:t>
      </w:r>
      <w:r>
        <w:rPr>
          <w:rFonts w:hint="eastAsia" w:ascii="仿宋" w:hAnsi="仿宋" w:eastAsia="仿宋" w:cs="仿宋"/>
          <w:color w:val="auto"/>
          <w:sz w:val="32"/>
          <w:szCs w:val="32"/>
          <w:shd w:val="clear" w:color="auto" w:fill="FFFFFF"/>
          <w:lang w:eastAsia="zh-CN"/>
        </w:rPr>
        <w:t>工</w:t>
      </w:r>
      <w:r>
        <w:rPr>
          <w:rFonts w:ascii="仿宋" w:hAnsi="仿宋" w:eastAsia="仿宋" w:cs="仿宋"/>
          <w:color w:val="auto"/>
          <w:sz w:val="32"/>
          <w:szCs w:val="32"/>
          <w:shd w:val="clear" w:color="auto" w:fill="FFFFFF"/>
        </w:rPr>
        <w:t>信局。现单位实有在职人员</w:t>
      </w:r>
      <w:r>
        <w:rPr>
          <w:rFonts w:hint="eastAsia" w:ascii="仿宋" w:hAnsi="仿宋" w:eastAsia="仿宋" w:cs="仿宋"/>
          <w:color w:val="auto"/>
          <w:sz w:val="32"/>
          <w:szCs w:val="32"/>
          <w:shd w:val="clear" w:color="auto" w:fill="FFFFFF"/>
          <w:lang w:val="en-US" w:eastAsia="zh-CN"/>
        </w:rPr>
        <w:t>11</w:t>
      </w:r>
      <w:r>
        <w:rPr>
          <w:rFonts w:ascii="仿宋" w:hAnsi="仿宋" w:eastAsia="仿宋" w:cs="仿宋"/>
          <w:color w:val="auto"/>
          <w:sz w:val="32"/>
          <w:szCs w:val="32"/>
          <w:shd w:val="clear" w:color="auto" w:fill="FFFFFF"/>
        </w:rPr>
        <w:t>名，其中正职1名，副职</w:t>
      </w:r>
      <w:r>
        <w:rPr>
          <w:rFonts w:hint="eastAsia" w:ascii="仿宋" w:hAnsi="仿宋" w:eastAsia="仿宋" w:cs="仿宋"/>
          <w:color w:val="auto"/>
          <w:sz w:val="32"/>
          <w:szCs w:val="32"/>
          <w:shd w:val="clear" w:color="auto" w:fill="FFFFFF"/>
          <w:lang w:val="en-US" w:eastAsia="zh-CN"/>
        </w:rPr>
        <w:t>2</w:t>
      </w:r>
      <w:r>
        <w:rPr>
          <w:rFonts w:ascii="仿宋" w:hAnsi="仿宋" w:eastAsia="仿宋" w:cs="仿宋"/>
          <w:color w:val="auto"/>
          <w:sz w:val="32"/>
          <w:szCs w:val="32"/>
          <w:shd w:val="clear" w:color="auto" w:fill="FFFFFF"/>
        </w:rPr>
        <w:t>名，科员</w:t>
      </w:r>
      <w:r>
        <w:rPr>
          <w:rFonts w:hint="eastAsia" w:ascii="仿宋" w:hAnsi="仿宋" w:eastAsia="仿宋" w:cs="仿宋"/>
          <w:color w:val="auto"/>
          <w:sz w:val="32"/>
          <w:szCs w:val="32"/>
          <w:shd w:val="clear" w:color="auto" w:fill="FFFFFF"/>
          <w:lang w:val="en-US" w:eastAsia="zh-CN"/>
        </w:rPr>
        <w:t>6</w:t>
      </w:r>
      <w:r>
        <w:rPr>
          <w:rFonts w:ascii="仿宋" w:hAnsi="仿宋" w:eastAsia="仿宋" w:cs="仿宋"/>
          <w:color w:val="auto"/>
          <w:sz w:val="32"/>
          <w:szCs w:val="32"/>
          <w:shd w:val="clear" w:color="auto" w:fill="FFFFFF"/>
        </w:rPr>
        <w:t>名</w:t>
      </w:r>
      <w:r>
        <w:rPr>
          <w:rFonts w:hint="eastAsia" w:ascii="仿宋" w:hAnsi="仿宋" w:eastAsia="仿宋" w:cs="仿宋"/>
          <w:color w:val="auto"/>
          <w:sz w:val="32"/>
          <w:szCs w:val="32"/>
          <w:shd w:val="clear" w:color="auto" w:fill="FFFFFF"/>
          <w:lang w:val="en-US" w:eastAsia="zh-CN"/>
        </w:rPr>
        <w:t>,公益岗1名，见习岗1名</w:t>
      </w:r>
      <w:r>
        <w:rPr>
          <w:rFonts w:ascii="仿宋" w:hAnsi="仿宋" w:eastAsia="仿宋" w:cs="仿宋"/>
          <w:color w:val="auto"/>
          <w:sz w:val="32"/>
          <w:szCs w:val="32"/>
          <w:shd w:val="clear" w:color="auto" w:fill="FFFFFF"/>
        </w:rPr>
        <w:t>；退休人员2名。</w:t>
      </w:r>
    </w:p>
    <w:p>
      <w:pPr>
        <w:ind w:firstLine="640" w:firstLineChars="200"/>
        <w:rPr>
          <w:rFonts w:hint="eastAsia" w:ascii="黑体" w:hAnsi="黑体" w:eastAsia="黑体" w:cstheme="minorEastAsia"/>
          <w:color w:val="auto"/>
          <w:sz w:val="32"/>
          <w:szCs w:val="32"/>
          <w:lang w:eastAsia="zh-CN"/>
        </w:rPr>
      </w:pPr>
      <w:r>
        <w:rPr>
          <w:rFonts w:hint="eastAsia" w:ascii="黑体" w:hAnsi="黑体" w:eastAsia="黑体" w:cstheme="minorEastAsia"/>
          <w:color w:val="auto"/>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招商中心2020年度收入、支出预算总计 96.67 万元，与上年相比收、支预算总计各增加15.65万元，增长19.32%。主要原因是人员增加。其中：</w:t>
      </w:r>
    </w:p>
    <w:p>
      <w:pPr>
        <w:ind w:firstLine="645"/>
        <w:rPr>
          <w:rFonts w:hint="eastAsia" w:ascii="楷体" w:hAnsi="楷体" w:eastAsia="楷体" w:cs="楷体"/>
          <w:color w:val="auto"/>
          <w:kern w:val="2"/>
          <w:sz w:val="32"/>
          <w:szCs w:val="32"/>
          <w:lang w:val="en-US" w:eastAsia="zh-CN" w:bidi="ar"/>
        </w:rPr>
      </w:pPr>
      <w:r>
        <w:rPr>
          <w:rFonts w:hint="eastAsia" w:ascii="楷体" w:hAnsi="楷体" w:eastAsia="楷体" w:cs="楷体"/>
          <w:color w:val="auto"/>
          <w:kern w:val="2"/>
          <w:sz w:val="32"/>
          <w:szCs w:val="32"/>
          <w:lang w:val="en-US" w:eastAsia="zh-CN" w:bidi="ar"/>
        </w:rPr>
        <w:t>（一）收入预算总计 96.67万元。包括：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1．财政拨款收入预算总计96.67万元。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 96.67万元，与上年相比增加15.65万元，增长19.32%。主要原因是人员增加。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（2）政府性基金收入预算0万元，与上年相比增加（减少）0万元，增长（减少）0%。</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2．财政专户管理资金收入预算总计0万元。与上年相比增加（减少）0万元，增长（减少）0%。</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3．其他资金收入预算总计 0万元。与上年相比增加（减少）0万元，增长（减少）0%。</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4．上年结转资金预算数为 0万元。与上年相比增加（减少）0万元，增长（减少）0%。</w:t>
      </w:r>
    </w:p>
    <w:p>
      <w:pPr>
        <w:ind w:firstLine="645"/>
        <w:rPr>
          <w:rFonts w:hint="eastAsia" w:ascii="仿宋" w:hAnsi="仿宋" w:eastAsia="仿宋" w:cs="仿宋_GB2312"/>
          <w:color w:val="auto"/>
          <w:kern w:val="2"/>
          <w:sz w:val="32"/>
          <w:szCs w:val="32"/>
          <w:lang w:val="en-US" w:eastAsia="zh-CN" w:bidi="ar"/>
        </w:rPr>
      </w:pPr>
      <w:r>
        <w:rPr>
          <w:rFonts w:hint="eastAsia" w:ascii="楷体" w:hAnsi="楷体" w:eastAsia="楷体" w:cs="楷体"/>
          <w:color w:val="auto"/>
          <w:kern w:val="2"/>
          <w:sz w:val="32"/>
          <w:szCs w:val="32"/>
          <w:lang w:val="en-US" w:eastAsia="zh-CN" w:bidi="ar"/>
        </w:rPr>
        <w:t>（二）支出预算总计 96.67万元。包括：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1．一般公共服务（类）支出 67.14万元，主要用于人员和公用经费支出。与上年相比增加（减少）7.39万元，增长（减少）12.37%。主要原因是人员增加。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2．公共安全（类）支出 29.53万元，主要用于社会保险和就业支出、卫生健康支出和住房保障支出。与上年相比增加（减少）8.26万元，增长（减少）38.83%。主要原因是人员增加。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3．结转下年资金预算数为0万元。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此外，基本支出预算数为 96.67万元。与上年相比增加（减少）15.65万元，增长（减少）19.32%。主要原因是人员增加。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 xml:space="preserve">项目支出预算数为0万元。与上年相比增加0（减少） </w:t>
      </w:r>
    </w:p>
    <w:p>
      <w:pPr>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 xml:space="preserve"> 0万元，增长（减少）0%。</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单位预留机动经费预算数为 0万元。与上年相比增加（减少）0万元，增长（减少）0%。</w:t>
      </w:r>
    </w:p>
    <w:p>
      <w:pPr>
        <w:ind w:firstLine="640" w:firstLineChars="200"/>
        <w:rPr>
          <w:rFonts w:hint="eastAsia" w:ascii="黑体" w:hAnsi="黑体" w:eastAsia="黑体" w:cs="黑体"/>
          <w:b w:val="0"/>
          <w:bCs/>
          <w:color w:val="auto"/>
          <w:sz w:val="32"/>
          <w:szCs w:val="32"/>
          <w:lang w:eastAsia="zh-CN"/>
        </w:rPr>
      </w:pPr>
      <w:r>
        <w:rPr>
          <w:rFonts w:hint="eastAsia" w:ascii="黑体" w:hAnsi="黑体" w:eastAsia="黑体" w:cs="黑体"/>
          <w:b w:val="0"/>
          <w:bCs/>
          <w:color w:val="auto"/>
          <w:sz w:val="32"/>
          <w:szCs w:val="32"/>
          <w:lang w:eastAsia="zh-CN"/>
        </w:rPr>
        <w:t>四</w:t>
      </w:r>
      <w:r>
        <w:rPr>
          <w:rFonts w:hint="eastAsia" w:ascii="黑体" w:hAnsi="黑体" w:eastAsia="黑体" w:cs="黑体"/>
          <w:b w:val="0"/>
          <w:bCs/>
          <w:color w:val="auto"/>
          <w:sz w:val="32"/>
          <w:szCs w:val="32"/>
        </w:rPr>
        <w:t>、</w:t>
      </w:r>
      <w:r>
        <w:rPr>
          <w:rFonts w:hint="eastAsia" w:ascii="黑体" w:hAnsi="黑体" w:eastAsia="黑体" w:cs="黑体"/>
          <w:b w:val="0"/>
          <w:bCs/>
          <w:color w:val="auto"/>
          <w:sz w:val="32"/>
          <w:szCs w:val="32"/>
          <w:lang w:eastAsia="zh-CN"/>
        </w:rPr>
        <w:t>机关运行经费安排情况说明</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9.55万元，较2019年减少0.25万元，其中：</w:t>
      </w:r>
      <w:r>
        <w:rPr>
          <w:rFonts w:hint="eastAsia" w:ascii="仿宋_GB2312" w:eastAsia="仿宋_GB2312" w:hAnsiTheme="minorEastAsia" w:cstheme="minorEastAsia"/>
          <w:color w:val="auto"/>
          <w:sz w:val="32"/>
          <w:szCs w:val="32"/>
        </w:rPr>
        <w:t>办公费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0.64万元</w:t>
      </w:r>
      <w:r>
        <w:rPr>
          <w:rFonts w:hint="eastAsia" w:ascii="仿宋_GB2312" w:eastAsia="仿宋_GB2312" w:hAnsiTheme="minorEastAsia" w:cstheme="minorEastAsia"/>
          <w:color w:val="auto"/>
          <w:sz w:val="32"/>
          <w:szCs w:val="32"/>
        </w:rPr>
        <w:t>、印刷费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 xml:space="preserve"> 0.1万元</w:t>
      </w:r>
      <w:r>
        <w:rPr>
          <w:rFonts w:hint="eastAsia" w:ascii="仿宋_GB2312" w:eastAsia="仿宋_GB2312" w:hAnsiTheme="minorEastAsia" w:cstheme="minorEastAsia"/>
          <w:color w:val="auto"/>
          <w:sz w:val="32"/>
          <w:szCs w:val="32"/>
        </w:rPr>
        <w:t>、</w:t>
      </w:r>
      <w:r>
        <w:rPr>
          <w:rFonts w:hint="eastAsia" w:ascii="仿宋_GB2312" w:eastAsia="仿宋_GB2312" w:hAnsiTheme="minorEastAsia" w:cstheme="minorEastAsia"/>
          <w:color w:val="auto"/>
          <w:sz w:val="32"/>
          <w:szCs w:val="32"/>
          <w:lang w:val="en-US" w:eastAsia="zh-CN"/>
        </w:rPr>
        <w:t>邮电费支出0.05万元、工会经费支出0.5万元、福利费支出0.4万元、劳务费支出2.16万元、其他商品和服务支出0.15万元、其他交通费用支出5.55万元。</w:t>
      </w:r>
      <w:r>
        <w:rPr>
          <w:rFonts w:hint="eastAsia" w:ascii="仿宋_GB2312" w:eastAsia="仿宋_GB2312" w:hAnsiTheme="minorEastAsia" w:cstheme="minorEastAsia"/>
          <w:color w:val="auto"/>
          <w:sz w:val="32"/>
          <w:szCs w:val="32"/>
          <w:lang w:eastAsia="zh-CN"/>
        </w:rPr>
        <w:t>主要增减变化情况：</w:t>
      </w:r>
      <w:r>
        <w:rPr>
          <w:rFonts w:hint="eastAsia" w:ascii="仿宋_GB2312" w:eastAsia="仿宋_GB2312" w:hAnsiTheme="minorEastAsia" w:cstheme="minorEastAsia"/>
          <w:color w:val="auto"/>
          <w:sz w:val="32"/>
          <w:szCs w:val="32"/>
          <w:lang w:val="en-US" w:eastAsia="zh-CN"/>
        </w:rPr>
        <w:t>节约开支，经费减少。</w:t>
      </w:r>
    </w:p>
    <w:p>
      <w:pPr>
        <w:ind w:firstLine="640" w:firstLineChars="200"/>
        <w:rPr>
          <w:rFonts w:hint="eastAsia" w:ascii="黑体" w:hAnsi="黑体" w:eastAsia="黑体" w:cs="黑体"/>
          <w:b w:val="0"/>
          <w:bCs/>
          <w:color w:val="auto"/>
          <w:sz w:val="32"/>
          <w:szCs w:val="32"/>
        </w:rPr>
      </w:pPr>
      <w:r>
        <w:rPr>
          <w:rFonts w:hint="eastAsia" w:ascii="黑体" w:hAnsi="黑体" w:eastAsia="黑体" w:cs="黑体"/>
          <w:color w:val="auto"/>
          <w:sz w:val="32"/>
          <w:szCs w:val="32"/>
          <w:lang w:eastAsia="zh-CN"/>
        </w:rPr>
        <w:t>五、</w:t>
      </w:r>
      <w:r>
        <w:rPr>
          <w:rFonts w:hint="eastAsia" w:ascii="黑体" w:hAnsi="黑体" w:eastAsia="黑体" w:cs="黑体"/>
          <w:b w:val="0"/>
          <w:bCs/>
          <w:color w:val="auto"/>
          <w:sz w:val="32"/>
          <w:szCs w:val="32"/>
        </w:rPr>
        <w:t>政府采购</w:t>
      </w:r>
      <w:r>
        <w:rPr>
          <w:rFonts w:hint="eastAsia" w:ascii="黑体" w:hAnsi="黑体" w:eastAsia="黑体" w:cs="黑体"/>
          <w:b w:val="0"/>
          <w:bCs/>
          <w:color w:val="auto"/>
          <w:sz w:val="32"/>
          <w:szCs w:val="32"/>
          <w:lang w:eastAsia="zh-CN"/>
        </w:rPr>
        <w:t>安排</w:t>
      </w:r>
      <w:r>
        <w:rPr>
          <w:rFonts w:hint="eastAsia" w:ascii="黑体" w:hAnsi="黑体" w:eastAsia="黑体" w:cs="黑体"/>
          <w:b w:val="0"/>
          <w:bCs/>
          <w:color w:val="auto"/>
          <w:sz w:val="32"/>
          <w:szCs w:val="32"/>
        </w:rPr>
        <w:t>情况说明</w:t>
      </w:r>
    </w:p>
    <w:p>
      <w:pPr>
        <w:numPr>
          <w:ilvl w:val="0"/>
          <w:numId w:val="0"/>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年度政府采购</w:t>
      </w:r>
      <w:r>
        <w:rPr>
          <w:rFonts w:hint="eastAsia" w:ascii="仿宋_GB2312" w:eastAsia="仿宋_GB2312" w:hAnsiTheme="minorEastAsia" w:cstheme="minorEastAsia"/>
          <w:color w:val="auto"/>
          <w:sz w:val="32"/>
          <w:szCs w:val="32"/>
          <w:lang w:eastAsia="zh-CN"/>
        </w:rPr>
        <w:t>安排</w:t>
      </w:r>
      <w:r>
        <w:rPr>
          <w:rFonts w:hint="eastAsia" w:ascii="仿宋_GB2312" w:eastAsia="仿宋_GB2312" w:hAnsiTheme="minorEastAsia" w:cstheme="minorEastAsia"/>
          <w:color w:val="auto"/>
          <w:sz w:val="32"/>
          <w:szCs w:val="32"/>
          <w:lang w:val="en-US" w:eastAsia="zh-CN"/>
        </w:rPr>
        <w:t>5</w:t>
      </w:r>
      <w:r>
        <w:rPr>
          <w:rFonts w:hint="eastAsia" w:ascii="仿宋_GB2312" w:eastAsia="仿宋_GB2312" w:hAnsiTheme="minorEastAsia" w:cstheme="minorEastAsia"/>
          <w:color w:val="auto"/>
          <w:sz w:val="32"/>
          <w:szCs w:val="32"/>
        </w:rPr>
        <w:t>万元，其中：政府采购货物支出</w:t>
      </w:r>
      <w:r>
        <w:rPr>
          <w:rFonts w:hint="eastAsia" w:ascii="仿宋_GB2312" w:eastAsia="仿宋_GB2312" w:hAnsiTheme="minorEastAsia" w:cstheme="minorEastAsia"/>
          <w:color w:val="auto"/>
          <w:sz w:val="32"/>
          <w:szCs w:val="32"/>
          <w:lang w:val="en-US" w:eastAsia="zh-CN"/>
        </w:rPr>
        <w:t>5</w:t>
      </w:r>
      <w:r>
        <w:rPr>
          <w:rFonts w:hint="eastAsia" w:ascii="仿宋_GB2312" w:eastAsia="仿宋_GB2312" w:hAnsiTheme="minorEastAsia" w:cstheme="minorEastAsia"/>
          <w:color w:val="auto"/>
          <w:sz w:val="32"/>
          <w:szCs w:val="32"/>
        </w:rPr>
        <w:t>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color w:val="auto"/>
          <w:sz w:val="32"/>
          <w:szCs w:val="32"/>
          <w:lang w:eastAsia="zh-CN"/>
        </w:rPr>
      </w:pPr>
      <w:r>
        <w:rPr>
          <w:rFonts w:hint="eastAsia" w:ascii="黑体" w:hAnsi="黑体" w:eastAsia="黑体" w:cs="黑体"/>
          <w:b w:val="0"/>
          <w:bCs/>
          <w:color w:val="auto"/>
          <w:sz w:val="32"/>
          <w:szCs w:val="32"/>
          <w:lang w:eastAsia="zh-CN"/>
        </w:rPr>
        <w:t>六</w:t>
      </w:r>
      <w:r>
        <w:rPr>
          <w:rFonts w:hint="eastAsia" w:ascii="黑体" w:hAnsi="黑体" w:eastAsia="黑体" w:cs="黑体"/>
          <w:b w:val="0"/>
          <w:bCs/>
          <w:color w:val="auto"/>
          <w:sz w:val="32"/>
          <w:szCs w:val="32"/>
        </w:rPr>
        <w:t>、</w:t>
      </w:r>
      <w:r>
        <w:rPr>
          <w:rFonts w:hint="eastAsia" w:ascii="黑体" w:hAnsi="黑体" w:eastAsia="黑体" w:cs="黑体"/>
          <w:b w:val="0"/>
          <w:bCs/>
          <w:color w:val="auto"/>
          <w:sz w:val="32"/>
          <w:szCs w:val="32"/>
          <w:lang w:eastAsia="zh-CN"/>
        </w:rPr>
        <w:t>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（一）</w:t>
      </w:r>
      <w:r>
        <w:rPr>
          <w:rFonts w:hint="eastAsia" w:ascii="仿宋_GB2312" w:eastAsia="仿宋_GB2312" w:hAnsiTheme="minorEastAsia" w:cstheme="minorEastAsia"/>
          <w:color w:val="auto"/>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（二）</w:t>
      </w:r>
      <w:r>
        <w:rPr>
          <w:rFonts w:hint="eastAsia" w:ascii="仿宋_GB2312" w:eastAsia="仿宋_GB2312" w:hAnsiTheme="minorEastAsia" w:cstheme="minorEastAsia"/>
          <w:color w:val="auto"/>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（三）</w:t>
      </w:r>
      <w:r>
        <w:rPr>
          <w:rFonts w:hint="eastAsia" w:ascii="仿宋_GB2312" w:eastAsia="仿宋_GB2312" w:hAnsiTheme="minorEastAsia" w:cstheme="minorEastAsia"/>
          <w:color w:val="auto"/>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（四）</w:t>
      </w:r>
      <w:r>
        <w:rPr>
          <w:rFonts w:hint="eastAsia" w:ascii="仿宋_GB2312" w:eastAsia="仿宋_GB2312" w:hAnsiTheme="minorEastAsia" w:cstheme="minorEastAsia"/>
          <w:color w:val="auto"/>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仿宋_GB2312" w:eastAsia="仿宋_GB2312" w:hAnsiTheme="minorEastAsia" w:cstheme="minorEastAsia"/>
          <w:color w:val="auto"/>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（六）</w:t>
      </w:r>
      <w:r>
        <w:rPr>
          <w:rFonts w:hint="eastAsia" w:ascii="仿宋_GB2312" w:eastAsia="仿宋_GB2312" w:hAnsiTheme="minorEastAsia" w:cstheme="minorEastAsia"/>
          <w:color w:val="auto"/>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（七）</w:t>
      </w:r>
      <w:r>
        <w:rPr>
          <w:rFonts w:hint="eastAsia" w:ascii="仿宋_GB2312" w:eastAsia="仿宋_GB2312" w:hAnsiTheme="minorEastAsia" w:cstheme="minorEastAsia"/>
          <w:color w:val="auto"/>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（八）</w:t>
      </w:r>
      <w:r>
        <w:rPr>
          <w:rFonts w:hint="eastAsia" w:ascii="仿宋_GB2312" w:eastAsia="仿宋_GB2312" w:hAnsiTheme="minorEastAsia" w:cstheme="minorEastAsia"/>
          <w:color w:val="auto"/>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（九）</w:t>
      </w:r>
      <w:r>
        <w:rPr>
          <w:rFonts w:hint="eastAsia" w:ascii="仿宋_GB2312" w:eastAsia="仿宋_GB2312" w:hAnsiTheme="minorEastAsia" w:cstheme="minorEastAsia"/>
          <w:color w:val="auto"/>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（十）</w:t>
      </w:r>
      <w:r>
        <w:rPr>
          <w:rFonts w:hint="eastAsia" w:ascii="仿宋_GB2312" w:eastAsia="仿宋_GB2312" w:hAnsiTheme="minorEastAsia" w:cstheme="minorEastAsia"/>
          <w:color w:val="auto"/>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十一</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十二</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十三</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十四</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十五</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十六</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十七</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eastAsia="zh-CN"/>
        </w:rPr>
        <w:t>七、国有</w:t>
      </w:r>
      <w:r>
        <w:rPr>
          <w:rFonts w:hint="eastAsia" w:ascii="黑体" w:hAnsi="黑体" w:eastAsia="黑体" w:cs="黑体"/>
          <w:b w:val="0"/>
          <w:bCs/>
          <w:color w:val="auto"/>
          <w:sz w:val="32"/>
          <w:szCs w:val="32"/>
          <w:lang w:val="en-US" w:eastAsia="zh-CN"/>
        </w:rPr>
        <w:t>资产占用情况说明</w:t>
      </w:r>
    </w:p>
    <w:p>
      <w:pPr>
        <w:pStyle w:val="4"/>
        <w:keepNext w:val="0"/>
        <w:keepLines w:val="0"/>
        <w:widowControl/>
        <w:suppressLineNumbers w:val="0"/>
        <w:spacing w:before="0" w:beforeAutospacing="0" w:after="0" w:afterAutospacing="0"/>
        <w:ind w:left="0" w:right="0" w:firstLine="640" w:firstLineChars="200"/>
        <w:jc w:val="both"/>
        <w:rPr>
          <w:rFonts w:hint="eastAsia" w:ascii="仿宋" w:hAnsi="仿宋" w:eastAsia="仿宋" w:cs="仿宋"/>
          <w:color w:val="auto"/>
          <w:sz w:val="32"/>
          <w:szCs w:val="32"/>
        </w:rPr>
      </w:pPr>
      <w:r>
        <w:rPr>
          <w:rFonts w:hint="eastAsia" w:ascii="仿宋" w:hAnsi="仿宋" w:eastAsia="仿宋" w:cs="仿宋"/>
          <w:color w:val="auto"/>
          <w:sz w:val="32"/>
          <w:szCs w:val="32"/>
          <w:shd w:val="clear" w:fill="FFFFFF"/>
        </w:rPr>
        <w:t>截止2019年12月31日，本单位资产总额 4.70万元，其中流动资产0.01万元，固定资产 4.69万元，在建工程 0万元，无形资产 0万元。固定资产当中，房屋构筑物 0万元，汽车0 辆 0万元，单价200万元以上大型设备价值 0 万元，其他固定资产4.69万元。    </w:t>
      </w:r>
    </w:p>
    <w:p>
      <w:pPr>
        <w:pStyle w:val="4"/>
        <w:keepNext w:val="0"/>
        <w:keepLines w:val="0"/>
        <w:widowControl/>
        <w:suppressLineNumbers w:val="0"/>
        <w:spacing w:before="0" w:beforeAutospacing="0" w:after="0" w:afterAutospacing="0"/>
        <w:ind w:left="0" w:right="0"/>
        <w:jc w:val="both"/>
        <w:rPr>
          <w:rFonts w:hint="eastAsia" w:ascii="仿宋" w:hAnsi="仿宋" w:eastAsia="仿宋" w:cs="仿宋"/>
          <w:color w:val="auto"/>
          <w:sz w:val="32"/>
          <w:szCs w:val="32"/>
        </w:rPr>
      </w:pPr>
      <w:r>
        <w:rPr>
          <w:rFonts w:hint="eastAsia" w:ascii="仿宋" w:hAnsi="仿宋" w:eastAsia="仿宋" w:cs="仿宋"/>
          <w:color w:val="auto"/>
          <w:sz w:val="32"/>
          <w:szCs w:val="32"/>
          <w:shd w:val="clear" w:fill="FFFFFF"/>
        </w:rPr>
        <w:t>　　与上年相比，本年资产总额减少1.12 万元（固定资产折旧）。    </w:t>
      </w:r>
    </w:p>
    <w:p>
      <w:pPr>
        <w:ind w:firstLine="640" w:firstLineChars="200"/>
        <w:rPr>
          <w:rFonts w:hint="eastAsia" w:ascii="楷体" w:hAnsi="楷体" w:eastAsia="楷体" w:cstheme="minorEastAsia"/>
          <w:b w:val="0"/>
          <w:bCs/>
          <w:color w:val="auto"/>
          <w:sz w:val="32"/>
          <w:szCs w:val="32"/>
          <w:lang w:val="en-US" w:eastAsia="zh-CN"/>
        </w:rPr>
      </w:pPr>
      <w:r>
        <w:rPr>
          <w:rFonts w:hint="eastAsia" w:ascii="黑体" w:hAnsi="黑体" w:eastAsia="黑体" w:cs="黑体"/>
          <w:b w:val="0"/>
          <w:bCs/>
          <w:color w:val="auto"/>
          <w:sz w:val="32"/>
          <w:szCs w:val="32"/>
          <w:lang w:val="en-US" w:eastAsia="zh-CN"/>
        </w:rPr>
        <w:t>八、重点项目预算的绩效目标等预算绩效情况说明</w:t>
      </w:r>
    </w:p>
    <w:p>
      <w:pPr>
        <w:pStyle w:val="4"/>
        <w:keepNext w:val="0"/>
        <w:keepLines w:val="0"/>
        <w:widowControl/>
        <w:suppressLineNumbers w:val="0"/>
        <w:spacing w:before="0" w:beforeAutospacing="0" w:after="0" w:afterAutospacing="0"/>
        <w:ind w:left="0" w:right="0" w:firstLine="640" w:firstLineChars="200"/>
        <w:jc w:val="both"/>
        <w:rPr>
          <w:rFonts w:hint="eastAsia" w:ascii="仿宋" w:hAnsi="仿宋" w:eastAsia="仿宋" w:cs="仿宋"/>
          <w:color w:val="auto"/>
          <w:sz w:val="32"/>
          <w:szCs w:val="32"/>
        </w:rPr>
      </w:pPr>
      <w:r>
        <w:rPr>
          <w:rFonts w:hint="eastAsia" w:ascii="仿宋" w:hAnsi="仿宋" w:eastAsia="仿宋" w:cs="仿宋"/>
          <w:color w:val="auto"/>
          <w:sz w:val="32"/>
          <w:szCs w:val="32"/>
          <w:shd w:val="clear" w:fill="FFFFFF"/>
        </w:rPr>
        <w:t>招商中心本年度无重点项目支出，不涉及绩效等情况说明  </w:t>
      </w:r>
    </w:p>
    <w:p>
      <w:pPr>
        <w:ind w:firstLine="640" w:firstLineChars="200"/>
        <w:rPr>
          <w:rFonts w:hint="eastAsia" w:ascii="黑体" w:hAnsi="黑体" w:eastAsia="黑体" w:cs="黑体"/>
          <w:b w:val="0"/>
          <w:bCs/>
          <w:color w:val="auto"/>
          <w:sz w:val="32"/>
          <w:szCs w:val="32"/>
          <w:lang w:eastAsia="zh-CN"/>
        </w:rPr>
      </w:pPr>
      <w:r>
        <w:rPr>
          <w:rFonts w:hint="eastAsia" w:ascii="黑体" w:hAnsi="黑体" w:eastAsia="黑体" w:cs="黑体"/>
          <w:b w:val="0"/>
          <w:bCs/>
          <w:color w:val="auto"/>
          <w:sz w:val="32"/>
          <w:szCs w:val="32"/>
          <w:lang w:val="en-US" w:eastAsia="zh-CN"/>
        </w:rPr>
        <w:t>九、</w:t>
      </w:r>
      <w:r>
        <w:rPr>
          <w:rFonts w:hint="eastAsia" w:ascii="黑体" w:hAnsi="黑体" w:eastAsia="黑体" w:cs="黑体"/>
          <w:b w:val="0"/>
          <w:bCs/>
          <w:color w:val="auto"/>
          <w:sz w:val="32"/>
          <w:szCs w:val="32"/>
        </w:rPr>
        <w:t>一般公共预算“三公”经费支出</w:t>
      </w:r>
      <w:r>
        <w:rPr>
          <w:rFonts w:hint="eastAsia" w:ascii="黑体" w:hAnsi="黑体" w:eastAsia="黑体" w:cs="黑体"/>
          <w:b w:val="0"/>
          <w:bCs/>
          <w:color w:val="auto"/>
          <w:sz w:val="32"/>
          <w:szCs w:val="32"/>
          <w:lang w:eastAsia="zh-CN"/>
        </w:rPr>
        <w:t>增减变化原因等说明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年度一般公共预算“三公”经费</w:t>
      </w:r>
      <w:r>
        <w:rPr>
          <w:rFonts w:hint="eastAsia" w:ascii="仿宋_GB2312" w:eastAsia="仿宋_GB2312" w:hAnsiTheme="minorEastAsia" w:cstheme="minorEastAsia"/>
          <w:color w:val="auto"/>
          <w:sz w:val="32"/>
          <w:szCs w:val="32"/>
          <w:lang w:val="en-US" w:eastAsia="zh-CN"/>
        </w:rPr>
        <w:t>调整</w:t>
      </w:r>
      <w:r>
        <w:rPr>
          <w:rFonts w:hint="eastAsia" w:ascii="仿宋_GB2312" w:eastAsia="仿宋_GB2312" w:hAnsiTheme="minorEastAsia" w:cstheme="minorEastAsia"/>
          <w:color w:val="auto"/>
          <w:sz w:val="32"/>
          <w:szCs w:val="32"/>
        </w:rPr>
        <w:t>预算数为</w:t>
      </w:r>
      <w:r>
        <w:rPr>
          <w:rFonts w:hint="eastAsia" w:ascii="仿宋_GB2312" w:eastAsia="仿宋_GB2312" w:hAnsiTheme="minorEastAsia" w:cstheme="minorEastAsia"/>
          <w:color w:val="auto"/>
          <w:sz w:val="32"/>
          <w:szCs w:val="32"/>
          <w:lang w:val="en-US" w:eastAsia="zh-CN"/>
        </w:rPr>
        <w:t>4</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较20</w:t>
      </w:r>
      <w:r>
        <w:rPr>
          <w:rFonts w:hint="eastAsia" w:ascii="仿宋_GB2312" w:eastAsia="仿宋_GB2312" w:hAnsiTheme="minorEastAsia" w:cstheme="minorEastAsia"/>
          <w:color w:val="auto"/>
          <w:sz w:val="32"/>
          <w:szCs w:val="32"/>
          <w:lang w:val="en-US" w:eastAsia="zh-CN"/>
        </w:rPr>
        <w:t>19</w:t>
      </w:r>
      <w:r>
        <w:rPr>
          <w:rFonts w:hint="eastAsia" w:ascii="仿宋_GB2312" w:eastAsia="仿宋_GB2312" w:hAnsiTheme="minorEastAsia" w:cstheme="minorEastAsia"/>
          <w:color w:val="auto"/>
          <w:sz w:val="32"/>
          <w:szCs w:val="32"/>
        </w:rPr>
        <w:t>年</w:t>
      </w:r>
      <w:r>
        <w:rPr>
          <w:rFonts w:hint="eastAsia" w:ascii="仿宋_GB2312" w:eastAsia="仿宋_GB2312" w:hAnsiTheme="minorEastAsia" w:cstheme="minorEastAsia"/>
          <w:color w:val="auto"/>
          <w:sz w:val="32"/>
          <w:szCs w:val="32"/>
          <w:lang w:val="en-US" w:eastAsia="zh-CN"/>
        </w:rPr>
        <w:t>增加4</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val="en-US" w:eastAsia="zh-CN"/>
        </w:rPr>
        <w:t>增长100</w:t>
      </w:r>
      <w:r>
        <w:rPr>
          <w:rFonts w:hint="eastAsia" w:ascii="仿宋_GB2312" w:eastAsia="仿宋_GB2312" w:hAnsiTheme="minorEastAsia" w:cstheme="minorEastAsia"/>
          <w:color w:val="auto"/>
          <w:sz w:val="32"/>
          <w:szCs w:val="32"/>
        </w:rPr>
        <w:t>%，其中：</w:t>
      </w:r>
    </w:p>
    <w:p>
      <w:pPr>
        <w:numPr>
          <w:ilvl w:val="0"/>
          <w:numId w:val="1"/>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因公出国（境）支出年初预算数为0万元，</w:t>
      </w:r>
      <w:r>
        <w:rPr>
          <w:rFonts w:hint="eastAsia" w:ascii="仿宋_GB2312" w:eastAsia="仿宋_GB2312" w:hAnsiTheme="minorEastAsia" w:cstheme="minorEastAsia"/>
          <w:color w:val="auto"/>
          <w:sz w:val="32"/>
          <w:szCs w:val="32"/>
          <w:lang w:eastAsia="zh-CN"/>
        </w:rPr>
        <w:t>因公出国（境）团组数为</w:t>
      </w:r>
      <w:r>
        <w:rPr>
          <w:rFonts w:hint="eastAsia" w:ascii="仿宋_GB2312" w:eastAsia="仿宋_GB2312" w:hAnsiTheme="minorEastAsia" w:cstheme="minorEastAsia"/>
          <w:color w:val="auto"/>
          <w:sz w:val="32"/>
          <w:szCs w:val="32"/>
          <w:lang w:val="en-US" w:eastAsia="zh-CN"/>
        </w:rPr>
        <w:t>0，人数为0。</w:t>
      </w:r>
      <w:r>
        <w:rPr>
          <w:rFonts w:hint="eastAsia" w:ascii="仿宋_GB2312" w:eastAsia="仿宋_GB2312" w:hAnsiTheme="minorEastAsia" w:cstheme="minorEastAsia"/>
          <w:color w:val="auto"/>
          <w:sz w:val="32"/>
          <w:szCs w:val="32"/>
        </w:rPr>
        <w:t>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w:t>
      </w:r>
    </w:p>
    <w:p>
      <w:pPr>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　　（二）公务接待费支出年初</w:t>
      </w:r>
      <w:r>
        <w:rPr>
          <w:rFonts w:hint="eastAsia" w:ascii="仿宋_GB2312" w:eastAsia="仿宋_GB2312" w:hAnsiTheme="minorEastAsia" w:cstheme="minorEastAsia"/>
          <w:color w:val="auto"/>
          <w:sz w:val="32"/>
          <w:szCs w:val="32"/>
          <w:lang w:val="en-US" w:eastAsia="zh-CN"/>
        </w:rPr>
        <w:t>调整</w:t>
      </w:r>
      <w:r>
        <w:rPr>
          <w:rFonts w:hint="eastAsia" w:ascii="仿宋_GB2312" w:eastAsia="仿宋_GB2312" w:hAnsiTheme="minorEastAsia" w:cstheme="minorEastAsia"/>
          <w:color w:val="auto"/>
          <w:sz w:val="32"/>
          <w:szCs w:val="32"/>
        </w:rPr>
        <w:t>预算数为</w:t>
      </w:r>
      <w:r>
        <w:rPr>
          <w:rFonts w:hint="eastAsia" w:ascii="仿宋_GB2312" w:eastAsia="仿宋_GB2312" w:hAnsiTheme="minorEastAsia" w:cstheme="minorEastAsia"/>
          <w:color w:val="auto"/>
          <w:sz w:val="32"/>
          <w:szCs w:val="32"/>
          <w:lang w:val="en-US" w:eastAsia="zh-CN"/>
        </w:rPr>
        <w:t>4</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w:t>
      </w:r>
      <w:r>
        <w:rPr>
          <w:rFonts w:hint="eastAsia" w:ascii="仿宋_GB2312" w:eastAsia="仿宋_GB2312" w:hAnsiTheme="minorEastAsia" w:cstheme="minorEastAsia"/>
          <w:color w:val="auto"/>
          <w:sz w:val="32"/>
          <w:szCs w:val="32"/>
          <w:lang w:val="en-US" w:eastAsia="zh-CN"/>
        </w:rPr>
        <w:t>增加4</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val="en-US" w:eastAsia="zh-CN"/>
        </w:rPr>
        <w:t>增长100</w:t>
      </w:r>
      <w:r>
        <w:rPr>
          <w:rFonts w:hint="eastAsia" w:ascii="仿宋_GB2312" w:eastAsia="仿宋_GB2312" w:hAnsiTheme="minorEastAsia" w:cstheme="minorEastAsia"/>
          <w:color w:val="auto"/>
          <w:sz w:val="32"/>
          <w:szCs w:val="32"/>
        </w:rPr>
        <w:t>%。主要原因是：</w:t>
      </w:r>
      <w:r>
        <w:rPr>
          <w:rFonts w:hint="eastAsia" w:ascii="仿宋_GB2312" w:eastAsia="仿宋_GB2312" w:hAnsiTheme="minorEastAsia" w:cstheme="minorEastAsia"/>
          <w:color w:val="auto"/>
          <w:sz w:val="32"/>
          <w:szCs w:val="32"/>
          <w:lang w:val="en-US" w:eastAsia="zh-CN"/>
        </w:rPr>
        <w:t>去年预算批复中没包括项目经费。</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（三）公务用车购置及运行维护费支出0万元，其中公务用车购置年初预算数为0万元，较201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年增加（减少）0万元，增长（下降）0%；公务用车运行维护费支出年初预算数为0万元，较201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年增加（减少）0万元，增长（下降）0%。</w:t>
      </w:r>
      <w:r>
        <w:rPr>
          <w:rFonts w:hint="eastAsia" w:ascii="仿宋_GB2312" w:eastAsia="仿宋_GB2312" w:hAnsiTheme="minorEastAsia" w:cstheme="minorEastAsia"/>
          <w:color w:val="auto"/>
          <w:sz w:val="32"/>
          <w:szCs w:val="32"/>
          <w:lang w:eastAsia="zh-CN"/>
        </w:rPr>
        <w:t>本年度公务用车购置数</w:t>
      </w:r>
      <w:r>
        <w:rPr>
          <w:rFonts w:hint="eastAsia" w:ascii="仿宋_GB2312" w:eastAsia="仿宋_GB2312" w:hAnsiTheme="minorEastAsia" w:cstheme="minorEastAsia"/>
          <w:color w:val="auto"/>
          <w:sz w:val="32"/>
          <w:szCs w:val="32"/>
          <w:lang w:val="en-US" w:eastAsia="zh-CN"/>
        </w:rPr>
        <w:t>0辆，公务用车保有量0辆。</w:t>
      </w:r>
    </w:p>
    <w:p>
      <w:pPr>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十、政府性基金预算支出预算情况说明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本单位本年度无此项预算，故无此项说明。</w:t>
      </w: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bookmarkEnd w:id="0"/>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C5A5250"/>
    <w:rsid w:val="0C64513E"/>
    <w:rsid w:val="0DE649EC"/>
    <w:rsid w:val="0EE25EB1"/>
    <w:rsid w:val="10CB3E8D"/>
    <w:rsid w:val="11F35FF2"/>
    <w:rsid w:val="179A58B8"/>
    <w:rsid w:val="1B4A6025"/>
    <w:rsid w:val="1D607025"/>
    <w:rsid w:val="1DF453AF"/>
    <w:rsid w:val="1E107510"/>
    <w:rsid w:val="1E643EFE"/>
    <w:rsid w:val="209E0EC3"/>
    <w:rsid w:val="22140CC1"/>
    <w:rsid w:val="24D63713"/>
    <w:rsid w:val="267D784E"/>
    <w:rsid w:val="2A937DAC"/>
    <w:rsid w:val="2DB60033"/>
    <w:rsid w:val="2F754CA8"/>
    <w:rsid w:val="2FB928F6"/>
    <w:rsid w:val="330E2A8E"/>
    <w:rsid w:val="341824CB"/>
    <w:rsid w:val="343F3937"/>
    <w:rsid w:val="34D53928"/>
    <w:rsid w:val="36870474"/>
    <w:rsid w:val="368A62E5"/>
    <w:rsid w:val="37015ED3"/>
    <w:rsid w:val="39E01B38"/>
    <w:rsid w:val="3F5C42DA"/>
    <w:rsid w:val="43E475B8"/>
    <w:rsid w:val="458B37F5"/>
    <w:rsid w:val="467D2DBE"/>
    <w:rsid w:val="48832669"/>
    <w:rsid w:val="48E87EB6"/>
    <w:rsid w:val="48F6151A"/>
    <w:rsid w:val="4A4F3891"/>
    <w:rsid w:val="4AFA4BB2"/>
    <w:rsid w:val="4D4F71C4"/>
    <w:rsid w:val="4D9B3CEE"/>
    <w:rsid w:val="4EBA5260"/>
    <w:rsid w:val="50AA2DEC"/>
    <w:rsid w:val="522F50B0"/>
    <w:rsid w:val="52567629"/>
    <w:rsid w:val="582B68F4"/>
    <w:rsid w:val="5D083F24"/>
    <w:rsid w:val="5D306324"/>
    <w:rsid w:val="5E0B45F3"/>
    <w:rsid w:val="5E113426"/>
    <w:rsid w:val="5E614851"/>
    <w:rsid w:val="60860A87"/>
    <w:rsid w:val="60B46440"/>
    <w:rsid w:val="61C6166E"/>
    <w:rsid w:val="635C762A"/>
    <w:rsid w:val="69A92663"/>
    <w:rsid w:val="6FD93AE0"/>
    <w:rsid w:val="71715484"/>
    <w:rsid w:val="71FC58C7"/>
    <w:rsid w:val="7249546B"/>
    <w:rsid w:val="729F0AAD"/>
    <w:rsid w:val="73024108"/>
    <w:rsid w:val="74B84E59"/>
    <w:rsid w:val="759F7475"/>
    <w:rsid w:val="75F45C0F"/>
    <w:rsid w:val="76614B95"/>
    <w:rsid w:val="7777799C"/>
    <w:rsid w:val="7C7014AB"/>
    <w:rsid w:val="7DA35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9</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心路</cp:lastModifiedBy>
  <cp:lastPrinted>2019-09-11T06:01:00Z</cp:lastPrinted>
  <dcterms:modified xsi:type="dcterms:W3CDTF">2021-06-03T08:29:16Z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