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val="en-US" w:eastAsia="zh-CN"/>
        </w:rPr>
      </w:pPr>
      <w:r>
        <w:rPr>
          <w:rFonts w:hint="eastAsia" w:ascii="黑体" w:hAnsi="黑体" w:eastAsia="黑体" w:cstheme="minorEastAsia"/>
          <w:sz w:val="44"/>
          <w:szCs w:val="44"/>
          <w:lang w:val="en-US" w:eastAsia="zh-CN"/>
        </w:rPr>
        <w:t>政协襄垣县委员会办公室</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highlight w:val="none"/>
          <w14:textFill>
            <w14:solidFill>
              <w14:schemeClr w14:val="tx1"/>
            </w14:solidFill>
          </w14:textFill>
        </w:rPr>
        <w:t>、人民政协的主要职能：</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人民政协有三项主要职能：政治协商、民主监督、参政议政。</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这三项主要职能是各党派团体、各族各界人士在中国政治体制中参与国是、发挥作用的重要内容和基本形式，体现了人民政协的性质和特点，是人民政协区别于其他政治组织的重要标志。</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（1）政治协商</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是对国家和地方的大政方针以及政治、经济、文化和社会生活中的重要问题在决策之前进行协商和就决策执行过程中的重要问题进行协商。</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(2)民主监督</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是对国家宪法、法律和法规的实施，重大方针政策的贯彻执行、国家机关及其工作人员的工作，通过建议和批评进行监督。</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(3)参政议政</w:t>
      </w:r>
    </w:p>
    <w:p>
      <w:p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是对政治、经济、文化和社会生活中的重要问题以及人民群众普遍关心的问题，开展调查研究，反映社情民意，进行协商讨论。通过调研报告、提案、建议案或其他形式，向中国共产党和国家机关提出意见和建议。</w:t>
      </w:r>
    </w:p>
    <w:p>
      <w:pPr>
        <w:ind w:firstLine="640" w:firstLineChars="200"/>
        <w:rPr>
          <w:rFonts w:hint="eastAsia" w:ascii="仿宋_GB2312" w:hAnsi="仿宋_GB2312" w:eastAsia="仿宋_GB2312" w:cs="仿宋_GB2312"/>
          <w:b/>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_GB2312" w:eastAsia="仿宋_GB2312" w:cs="仿宋_GB2312"/>
          <w:b/>
          <w:bCs w:val="0"/>
          <w:color w:val="000000" w:themeColor="text1"/>
          <w:sz w:val="32"/>
          <w:szCs w:val="32"/>
          <w:highlight w:val="none"/>
          <w14:textFill>
            <w14:solidFill>
              <w14:schemeClr w14:val="tx1"/>
            </w14:solidFill>
          </w14:textFill>
        </w:rPr>
        <w:t>二、部门基本情况</w:t>
      </w:r>
    </w:p>
    <w:p>
      <w:pPr>
        <w:spacing w:line="640" w:lineRule="exact"/>
        <w:ind w:left="359" w:leftChars="171"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highlight w:val="none"/>
          <w14:textFill>
            <w14:solidFill>
              <w14:schemeClr w14:val="tx1"/>
            </w14:solidFill>
          </w14:textFill>
        </w:rPr>
        <w:t>（一）</w:t>
      </w:r>
      <w:r>
        <w:rPr>
          <w:rFonts w:hint="eastAsia" w:ascii="仿宋_GB2312" w:hAnsi="仿宋_GB2312" w:eastAsia="仿宋_GB2312" w:cs="仿宋_GB2312"/>
          <w:b w:val="0"/>
          <w:bCs/>
          <w:color w:val="000000" w:themeColor="text1"/>
          <w:kern w:val="0"/>
          <w:sz w:val="32"/>
          <w:szCs w:val="32"/>
          <w:highlight w:val="none"/>
          <w:lang w:eastAsia="zh-CN"/>
          <w14:textFill>
            <w14:solidFill>
              <w14:schemeClr w14:val="tx1"/>
            </w14:solidFill>
          </w14:textFill>
        </w:rPr>
        <w:t>机构设置情况：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t>政协襄垣县第九届委员会现有主席1人，副主席2人，办公室主任1人。下设办公室、经济委员会、教科卫体委员会、提案委员会、农业和农村委员会、文化和文史委员会、信息中心。</w:t>
      </w:r>
    </w:p>
    <w:p>
      <w:pPr>
        <w:numPr>
          <w:ilvl w:val="0"/>
          <w:numId w:val="1"/>
        </w:numPr>
        <w:spacing w:line="640" w:lineRule="exact"/>
        <w:ind w:left="181" w:leftChars="86" w:firstLine="633" w:firstLineChars="198"/>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highlight w:val="none"/>
          <w14:textFill>
            <w14:solidFill>
              <w14:schemeClr w14:val="tx1"/>
            </w14:solidFill>
          </w14:textFill>
        </w:rPr>
        <w:t>人员情况说明</w:t>
      </w:r>
      <w:r>
        <w:rPr>
          <w:rFonts w:hint="eastAsia" w:ascii="仿宋_GB2312" w:hAnsi="仿宋_GB2312" w:eastAsia="仿宋_GB2312" w:cs="仿宋_GB2312"/>
          <w:b w:val="0"/>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其中政协办</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现</w:t>
      </w:r>
      <w:r>
        <w:rPr>
          <w:rFonts w:hint="eastAsia" w:ascii="仿宋_GB2312" w:hAnsi="仿宋_GB2312" w:eastAsia="仿宋_GB2312" w:cs="仿宋_GB2312"/>
          <w:color w:val="000000" w:themeColor="text1"/>
          <w:sz w:val="32"/>
          <w:szCs w:val="32"/>
          <w:highlight w:val="none"/>
          <w14:textFill>
            <w14:solidFill>
              <w14:schemeClr w14:val="tx1"/>
            </w14:solidFill>
          </w14:textFill>
        </w:rPr>
        <w:t>有编制22个，实有16人。其中：行政编制10个，实有7人，工勤编制5个，实有2人，事业编制7人，实有</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highlight w:val="none"/>
          <w14:textFill>
            <w14:solidFill>
              <w14:schemeClr w14:val="tx1"/>
            </w14:solidFill>
          </w14:textFill>
        </w:rPr>
        <w:t>人。</w:t>
      </w:r>
    </w:p>
    <w:p>
      <w:pPr>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三、预算收支增减变化情况说明</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政协2020年度收入、支出预算总计314.91万元，与上年相比收、支预算总计各增加40.24万元，增长12.78 %。主要原因是人员增加，工资正常增长。</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（一）收入预算总计314.91万元。包括：工资统发、经费拨款。</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1．财政拨款收入预算总计314.91万元。</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1）一般公共预算收入预算314.91万元，与上年相比增加40.24万元，增长12.78%。主要原因是工资正常增长。（2）政府性基金收入预算0万元，与上年相比增加0万元，增长0 %，本单位本年度无此项预算，故无此项说明。</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2．财政专户管理资金收入预算总计0万元。与上年相比增加0万元，增长0%，本单位本年度无此项预算，故无此项说明。</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3．其他资金收入预算总计0万元。与上年相比增加0 万元，增长0%，本单位本年度无此项预算，故无此项说明。</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4．上年结转资金预算数为0.1 万元。与上年相比增加0 万元，增长0 %，本单位本年度无此项预算，故无此项说明。</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（二）支出预算总计314.91万元。包括：</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1．一般公共服务（类）支出314.91万元，主要用于人员支出、商品和服务支出。与上年相比增加40.24万元，增长12.78 %。主要原因是人员增加。</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2．公共安全（类）支出0万元，与上年相比增加（减少） 0 万元，增长（减少）0  %，本单位本年度无此项预算，故无此项说明。</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3．结转下年资金预算数为0.1万元，主要原因是差旅费结转。</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此外，基本支出预算数为314.91万元。与上年相比增加40.24万元，增长12.78%。主要原因是人员增加。</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项目支出预算数为 41万元。与上年相比减少69万元，</w:t>
      </w:r>
    </w:p>
    <w:p>
      <w:pP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 xml:space="preserve"> 减少168.29 %。主要原因是节约经费。</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单位预留机动经费预算数为 0 万元。与上年相比增加0万元，增长0%，本单位本年度无此项预算，故无此项说明。</w:t>
      </w:r>
    </w:p>
    <w:p>
      <w:pPr>
        <w:ind w:firstLine="640" w:firstLineChars="200"/>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四</w:t>
      </w: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机关运行经费安排情况说明</w:t>
      </w:r>
    </w:p>
    <w:p>
      <w:pPr>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highlight w:val="none"/>
          <w14:textFill>
            <w14:solidFill>
              <w14:schemeClr w14:val="tx1"/>
            </w14:solidFill>
          </w14:textFill>
        </w:rPr>
        <w:t>机关运行经费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支出预算数为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29.07万元，较2019年减少3.05 万元，其中：</w:t>
      </w:r>
      <w:r>
        <w:rPr>
          <w:rFonts w:hint="eastAsia" w:ascii="仿宋_GB2312" w:hAnsi="仿宋_GB2312" w:eastAsia="仿宋_GB2312" w:cs="仿宋_GB2312"/>
          <w:color w:val="000000" w:themeColor="text1"/>
          <w:sz w:val="32"/>
          <w:szCs w:val="32"/>
          <w:highlight w:val="none"/>
          <w14:textFill>
            <w14:solidFill>
              <w14:schemeClr w14:val="tx1"/>
            </w14:solidFill>
          </w14:textFill>
        </w:rPr>
        <w:t>办公费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3.6 万元</w:t>
      </w:r>
      <w:r>
        <w:rPr>
          <w:rFonts w:hint="eastAsia" w:ascii="仿宋_GB2312" w:hAnsi="仿宋_GB2312" w:eastAsia="仿宋_GB2312" w:cs="仿宋_GB2312"/>
          <w:color w:val="000000" w:themeColor="text1"/>
          <w:sz w:val="32"/>
          <w:szCs w:val="32"/>
          <w:highlight w:val="none"/>
          <w14:textFill>
            <w14:solidFill>
              <w14:schemeClr w14:val="tx1"/>
            </w14:solidFill>
          </w14:textFill>
        </w:rPr>
        <w:t>、印刷费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1 万元</w:t>
      </w:r>
      <w:r>
        <w:rPr>
          <w:rFonts w:hint="eastAsia" w:ascii="仿宋_GB2312" w:hAnsi="仿宋_GB2312" w:eastAsia="仿宋_GB2312" w:cs="仿宋_GB2312"/>
          <w:color w:val="000000" w:themeColor="text1"/>
          <w:sz w:val="32"/>
          <w:szCs w:val="32"/>
          <w:highlight w:val="none"/>
          <w14:textFill>
            <w14:solidFill>
              <w14:schemeClr w14:val="tx1"/>
            </w14:solidFill>
          </w14:textFill>
        </w:rPr>
        <w:t>、差旅费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1.37 万元</w:t>
      </w:r>
      <w:r>
        <w:rPr>
          <w:rFonts w:hint="eastAsia" w:ascii="仿宋_GB2312" w:hAnsi="仿宋_GB2312" w:eastAsia="仿宋_GB2312" w:cs="仿宋_GB2312"/>
          <w:color w:val="000000" w:themeColor="text1"/>
          <w:sz w:val="32"/>
          <w:szCs w:val="32"/>
          <w:highlight w:val="none"/>
          <w14:textFill>
            <w14:solidFill>
              <w14:schemeClr w14:val="tx1"/>
            </w14:solidFill>
          </w14:textFill>
        </w:rPr>
        <w:t>等。</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主要增减变化情况：</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节约经费。</w:t>
      </w:r>
    </w:p>
    <w:p>
      <w:pPr>
        <w:ind w:firstLine="640" w:firstLineChars="200"/>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五、</w:t>
      </w: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政府采购</w:t>
      </w:r>
      <w:r>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安排</w:t>
      </w: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情况说明</w:t>
      </w:r>
    </w:p>
    <w:p>
      <w:pPr>
        <w:numPr>
          <w:ilvl w:val="0"/>
          <w:numId w:val="0"/>
        </w:num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本部门20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14:textFill>
            <w14:solidFill>
              <w14:schemeClr w14:val="tx1"/>
            </w14:solidFill>
          </w14:textFill>
        </w:rPr>
        <w:t>年度政府采购</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安排</w:t>
      </w:r>
      <w:r>
        <w:rPr>
          <w:rFonts w:hint="eastAsia" w:ascii="仿宋_GB2312" w:hAnsi="仿宋_GB2312" w:eastAsia="仿宋_GB2312" w:cs="仿宋_GB2312"/>
          <w:color w:val="000000" w:themeColor="text1"/>
          <w:sz w:val="32"/>
          <w:szCs w:val="32"/>
          <w:highlight w:val="none"/>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六</w:t>
      </w: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对专业性较强的名词进行解释</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（一）</w:t>
      </w:r>
      <w:r>
        <w:rPr>
          <w:rFonts w:hint="eastAsia" w:ascii="仿宋_GB2312" w:hAnsi="仿宋_GB2312" w:eastAsia="仿宋_GB2312" w:cs="仿宋_GB2312"/>
          <w:color w:val="000000" w:themeColor="text1"/>
          <w:sz w:val="32"/>
          <w:szCs w:val="32"/>
          <w:highlight w:val="none"/>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（二）</w:t>
      </w:r>
      <w:r>
        <w:rPr>
          <w:rFonts w:hint="eastAsia" w:ascii="仿宋_GB2312" w:hAnsi="仿宋_GB2312" w:eastAsia="仿宋_GB2312" w:cs="仿宋_GB2312"/>
          <w:color w:val="000000" w:themeColor="text1"/>
          <w:sz w:val="32"/>
          <w:szCs w:val="32"/>
          <w:highlight w:val="none"/>
          <w14:textFill>
            <w14:solidFill>
              <w14:schemeClr w14:val="tx1"/>
            </w14:solidFill>
          </w14:textFill>
        </w:rPr>
        <w:t>上级补助收入：指事业单位从主管部门和上级单位取得的非财政补助收入。</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（三）</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（四）</w:t>
      </w:r>
      <w:r>
        <w:rPr>
          <w:rFonts w:hint="eastAsia" w:ascii="仿宋_GB2312" w:hAnsi="仿宋_GB2312" w:eastAsia="仿宋_GB2312" w:cs="仿宋_GB2312"/>
          <w:color w:val="000000" w:themeColor="text1"/>
          <w:sz w:val="32"/>
          <w:szCs w:val="32"/>
          <w:highlight w:val="none"/>
          <w14:textFill>
            <w14:solidFill>
              <w14:schemeClr w14:val="tx1"/>
            </w14:solidFill>
          </w14:textFill>
        </w:rPr>
        <w:t>经营收入：指事业单位在专业业务活动及其辅助活动之外开展非独立核算经营活动取得的收入。</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（五）</w:t>
      </w:r>
      <w:r>
        <w:rPr>
          <w:rFonts w:hint="eastAsia" w:ascii="仿宋_GB2312" w:hAnsi="仿宋_GB2312" w:eastAsia="仿宋_GB2312" w:cs="仿宋_GB2312"/>
          <w:color w:val="000000" w:themeColor="text1"/>
          <w:sz w:val="32"/>
          <w:szCs w:val="32"/>
          <w:highlight w:val="none"/>
          <w14:textFill>
            <w14:solidFill>
              <w14:schemeClr w14:val="tx1"/>
            </w14:solidFill>
          </w14:textFill>
        </w:rPr>
        <w:t>附属单位缴款：指事业单位附属独立核算单位按照有关规定上缴的收入。</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（六）</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（七）</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用事业基金弥补收支差额：指事业单位用事业基金弥补当年收支差额的数额。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（八）</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（九）</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（十）</w:t>
      </w:r>
      <w:r>
        <w:rPr>
          <w:rFonts w:hint="eastAsia" w:ascii="仿宋_GB2312" w:hAnsi="仿宋_GB2312" w:eastAsia="仿宋_GB2312" w:cs="仿宋_GB2312"/>
          <w:color w:val="000000" w:themeColor="text1"/>
          <w:sz w:val="32"/>
          <w:szCs w:val="32"/>
          <w:highlight w:val="none"/>
          <w14:textFill>
            <w14:solidFill>
              <w14:schemeClr w14:val="tx1"/>
            </w14:solidFill>
          </w14:textFill>
        </w:rPr>
        <w:t>年末结转和结余资金：指单位结转下年的基本支出结转、项目支出结转和结余和经营结余。</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十一</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基本支出：指为保障机构正常运转、完成日常工作任务而发生的人员支出和公用支出。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十二</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十三</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十四</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十五</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对附属单位补助支出：指事业单位用财政补助收入之外的收入对附属单位补助发生的支出。</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十六</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十七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七、国有</w:t>
      </w: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截止</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20</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highlight w:val="none"/>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133.22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133.22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0.35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2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41.54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万元，单价200万元以上大型设备价值</w:t>
      </w:r>
      <w:r>
        <w:rPr>
          <w:rFonts w:hint="eastAsia" w:ascii="仿宋_GB2312" w:hAnsi="仿宋_GB2312" w:eastAsia="仿宋_GB2312" w:cs="仿宋_GB2312"/>
          <w:color w:val="000000" w:themeColor="text1"/>
          <w:sz w:val="32"/>
          <w:szCs w:val="32"/>
          <w:highlight w:val="none"/>
          <w:shd w:val="clear" w:color="auto" w:fill="FFFFFF"/>
          <w:lang w:eastAsia="zh-CN"/>
          <w14:textFill>
            <w14:solidFill>
              <w14:schemeClr w14:val="tx1"/>
            </w14:solidFill>
          </w14:textFill>
        </w:rPr>
        <w:t>0</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 xml:space="preserve"> 91.33</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与上年相比，本年</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度</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资产</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无</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增加。</w:t>
      </w: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重点项目预算的绩效目标等预算绩效情况说明</w:t>
      </w: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w:t>
      </w:r>
    </w:p>
    <w:p>
      <w:pPr>
        <w:ind w:firstLine="645"/>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
          <w14:textFill>
            <w14:solidFill>
              <w14:schemeClr w14:val="tx1"/>
            </w14:solidFill>
          </w14:textFill>
        </w:rPr>
        <w:t>本单位本年度无此项预算，故无此项说明。</w:t>
      </w:r>
    </w:p>
    <w:p>
      <w:pPr>
        <w:ind w:firstLine="640" w:firstLineChars="200"/>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九、</w:t>
      </w: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一般公共预算“三公”经费支出</w:t>
      </w:r>
      <w:r>
        <w:rPr>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增减变化原因等说明</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本部门20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14:textFill>
            <w14:solidFill>
              <w14:schemeClr w14:val="tx1"/>
            </w14:solidFill>
          </w14:textFill>
        </w:rPr>
        <w:t>年度一般公共预算“三公”经费预算数为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0.28 </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万元，较201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年减少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0.11</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万元，下降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39.28 </w:t>
      </w:r>
      <w:r>
        <w:rPr>
          <w:rFonts w:hint="eastAsia" w:ascii="仿宋_GB2312" w:hAnsi="仿宋_GB2312" w:eastAsia="仿宋_GB2312" w:cs="仿宋_GB2312"/>
          <w:color w:val="000000" w:themeColor="text1"/>
          <w:sz w:val="32"/>
          <w:szCs w:val="32"/>
          <w:highlight w:val="none"/>
          <w14:textFill>
            <w14:solidFill>
              <w14:schemeClr w14:val="tx1"/>
            </w14:solidFill>
          </w14:textFill>
        </w:rPr>
        <w:t>%，其中：</w:t>
      </w:r>
    </w:p>
    <w:p>
      <w:pPr>
        <w:numPr>
          <w:ilvl w:val="0"/>
          <w:numId w:val="2"/>
        </w:num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因公出国（境）支出年初预算数为0万元，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因公出国（境）团组数为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0，人数为0。</w:t>
      </w:r>
      <w:r>
        <w:rPr>
          <w:rFonts w:hint="eastAsia" w:ascii="仿宋_GB2312" w:hAnsi="仿宋_GB2312" w:eastAsia="仿宋_GB2312" w:cs="仿宋_GB2312"/>
          <w:color w:val="000000" w:themeColor="text1"/>
          <w:sz w:val="32"/>
          <w:szCs w:val="32"/>
          <w:highlight w:val="none"/>
          <w14:textFill>
            <w14:solidFill>
              <w14:schemeClr w14:val="tx1"/>
            </w14:solidFill>
          </w14:textFill>
        </w:rPr>
        <w:t>较201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年增加（减少）0万元，增长（下降）0%。</w:t>
      </w:r>
    </w:p>
    <w:p>
      <w:pP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（二）公务接待费支出年初预算数为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0.28</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万元，较201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年减少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0.11</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万元，下降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39.28 </w:t>
      </w:r>
      <w:r>
        <w:rPr>
          <w:rFonts w:hint="eastAsia" w:ascii="仿宋_GB2312" w:hAnsi="仿宋_GB2312" w:eastAsia="仿宋_GB2312" w:cs="仿宋_GB2312"/>
          <w:color w:val="000000" w:themeColor="text1"/>
          <w:sz w:val="32"/>
          <w:szCs w:val="32"/>
          <w:highlight w:val="none"/>
          <w14:textFill>
            <w14:solidFill>
              <w14:schemeClr w14:val="tx1"/>
            </w14:solidFill>
          </w14:textFill>
        </w:rPr>
        <w:t>%。主要原因是：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国内公务接待</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减少</w:t>
      </w:r>
      <w:bookmarkStart w:id="0" w:name="_GoBack"/>
      <w:bookmarkEnd w:id="0"/>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（三）公务用车购置及运行维护费支出0万元，其中公务用车购置年初预算数为0万元，较201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年增加（减少）0万元，增长（下降）0%；公务用车运行维护费支出年初预算数为0万元，较201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年增加（减少）0万元，增长（下降）0%。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本年度公务用车购置数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0辆，公务用车保有量2辆。</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十、政府性基金预算支出预算情况说明</w:t>
      </w:r>
    </w:p>
    <w:p>
      <w:pPr>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本单位本年度无此项预算，故无此项说明。</w:t>
      </w: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3DBDFCF9"/>
    <w:multiLevelType w:val="singleLevel"/>
    <w:tmpl w:val="3DBDFCF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2D5458"/>
    <w:rsid w:val="2DB60033"/>
    <w:rsid w:val="2F754CA8"/>
    <w:rsid w:val="2FB928F6"/>
    <w:rsid w:val="33F86EBE"/>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 w:val="7FAE4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2021-06-03T01:43:28Z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5226421E7A774D53AA2453F20C27E003</vt:lpwstr>
  </property>
</Properties>
</file>