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中共襄垣县委机构编制委员会办公室</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中共襄垣县委机构编制委员会办公室（以下简称县委编办）作为中共襄垣县委机构编制委员会的办事机构，承担中共襄垣县委机构编制委员会日常工作，为县委工作机关，正科级，归口县委组织部管理。下属有事业单位登记事务中心参公事业单位和电子政务中心全额事业单位（均不独立核算），经费来源为全额财政拨款。</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贯彻执行党中央、国务院和省委、省政府，市委、市政府以及省市机构编制部门有关行政管理体制和机构改革以及机构编制管理的政策、法规；研究拟定全县行政管理体制和机构改革以及机构编制管理的意见、规定和实施细则。强化党对机构编制和机构改革工作的集中统一领导，承办党政群机构职能编制工作，根据优化、协同、高效要求，审核部门“三定”规定，推动部门深化职能转变。加强事业单位登记管理工作，推动事业单位进一步强化公益属性。</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负责全县各级党政机关、人大、政协、法院、检察院机关，人民团体机关及县乡事业单位的机构编制管理工作。</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研究拟定全县行政管理体制与机构改革的总体方案，拟定县机构改革方案及实施意见，审核乡镇机构改革方案。</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审核各乡镇、县委各部门、县政府各部门的职能配置、内设机构、人员编制和领导职数的方案；协调县委各部门之间、县政府各部门之间的职责分工，科学配置各部门的职能。</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负责全县事业单位登记、管理和年检工作。</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负责对全县各级机关、事业单位机构编制及机构改革方案的执行情况进行监督检查，并报告县编委及县委、县政府。</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承担县委、县政府和县编委交办的其他事项。</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 xml:space="preserve">襄垣县财政局机关内设3个职能股室，职能股室分别为： 综合办公室、业务股、事业单位登记管理股。  </w:t>
      </w:r>
    </w:p>
    <w:p>
      <w:pPr>
        <w:pStyle w:val="4"/>
        <w:widowControl/>
        <w:spacing w:before="150" w:beforeAutospacing="0" w:after="150" w:afterAutospacing="0" w:line="465" w:lineRule="atLeast"/>
        <w:ind w:firstLine="555"/>
        <w:jc w:val="both"/>
        <w:rPr>
          <w:rFonts w:ascii="Times New Roman" w:hAnsi="Times New Roman" w:eastAsia="仿宋" w:cs="Times New Roman"/>
          <w:color w:val="000000" w:themeColor="text1"/>
          <w:sz w:val="32"/>
          <w:szCs w:val="32"/>
          <w14:textFill>
            <w14:solidFill>
              <w14:schemeClr w14:val="tx1"/>
            </w14:solidFill>
          </w14:textFill>
        </w:rPr>
      </w:pPr>
      <w:r>
        <w:rPr>
          <w:rFonts w:hint="eastAsia" w:ascii="仿宋_GB2312" w:hAnsi="仿宋_GB2312" w:eastAsia="仿宋_GB2312" w:cs="仿宋_GB2312"/>
          <w:sz w:val="32"/>
          <w:szCs w:val="32"/>
          <w:shd w:val="clear" w:color="auto" w:fill="FFFFFF"/>
          <w:lang w:val="en-US" w:eastAsia="zh-CN"/>
        </w:rPr>
        <w:t>1、综合科更名为综合办公室，</w:t>
      </w:r>
      <w:r>
        <w:rPr>
          <w:rFonts w:hint="eastAsia" w:ascii="Times New Roman" w:hAnsi="Times New Roman" w:eastAsia="仿宋" w:cs="Times New Roman"/>
          <w:color w:val="000000" w:themeColor="text1"/>
          <w:sz w:val="32"/>
          <w:szCs w:val="32"/>
          <w14:textFill>
            <w14:solidFill>
              <w14:schemeClr w14:val="tx1"/>
            </w14:solidFill>
          </w14:textFill>
        </w:rPr>
        <w:t>设定编制1名。</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综合协调、督促检查机关日常行政事务工作和行政后勤管理工作；具体负责机关会务、文秘、档案、信息、印鉴、接待、保密、安全、信访、人事、财务、资产管理等工作，建立健全机关各项规章制度，组织拟定全县机构编制管理的规定；负责全县机关、事业单位全国统一的代码标识分配、颁码工作；建立机构编制管理与财政预算管理相互配套协调的约束机制和监督制度；负责并监督县级机关、事业单位、乡镇机关、事业单位人员结构管理和审核新增人员编制使用情况；监督检查全县各级机关、事业单位机构编制工作的政策和法律、法规、规章的贯彻执行情况；负责县乡机关、事业单位进人上编手续的办理工作；负责县级党政群各部门行政编制的具体分配意见；负责财政统一发放工资编制与实有人数的审核工作；负责《机构编制管理证》的审核、鉴发和管理。</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2、机构科更名为业务股，设定编制2名，增加推行政府部门权责清单制度的职责。负责起草县级党政群机关行政管理体制改革和机构改革方案；审核县级党政群各部门、各乡镇的职能配置、内设机构、人员编制和领导职数；研究县级党政群各部门的职责分工与职能调整；审核有关非常设办事机构的设置；负责事业单位机构改革方案实施工作，职能界定，呈报审核科级事业单位的机构设置；审批股级事业单位的机构设置；负责全县事业单位登记管理工作。</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3、设置事业单位登记管理股，设定编制1名，主要职责：指导和监督检查全县事业单位登记管理工作，拟订我县事业单位登记管理工作规则和工作制度。负责县本级事业单位登记管理工作。负责县级机关和县委编办直接管理机构编制的群众团体社会统一信用代码赋码和证书发放工作。</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（二）人员情况说明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现有行政、事业编制17名，其中，行政编制7名，事业编制10名。实有13人，其中公务员6名，行政工勤1人，事业人员5名，其他1人。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中共襄垣县委机构编制委员会办公室2020年度收入、支出预算总计142.21万元，与上年相比收、支预算总计各增加12.05万元，增长9.26%。主要原因是工资正常增长、录入退休人员工资等原因。其中：</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（一）收入预算总计142.21万元。包括：</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1．财政拨款收入预算总计142.21万元。</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（1）一般公共预算收入预算142.21万元，与上年相比增加12.05万元，增长9.26%。主要原因是工资正常增长、录入退休人员工资等原因。</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（2）政府性基金收入预算0万元，与上年无变化。</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2．财政专户管理资金收入预算总计0万元。与上年无变化。</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3．其他资金收入预算总计0万元。与上年无变化。</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4．上年结转资金预算数为0万元。与上年无变化。</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（二）支出预算总计142.41万元。包括：</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1．一般公共服务（类）支出93.74万元，主要用行政事业运行及机关事务支出。与上年相比减少0.65万元，减少0.69%。主要原因是减少行政人员付旭峰。</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2．公共安全（类）支出0万元。与上年相比无差异。</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3．结转下年资金预算数为0万元，与上年相比无差异。</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此外，基本支出预算数为142.41万元。与上年相比增加12.05万元，增长9.26%。主要原因是工资正常增长、录入退休人员工资等原因。</w:t>
      </w:r>
    </w:p>
    <w:p>
      <w:pPr>
        <w:ind w:firstLine="645"/>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项目支出预算数为0.58万元。与上年相比无差异。与上年相比增加0.58 万元，增长100%。主要原因是增加农村第一书记保障经费。</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单位预留机动经费预算数为 0万元。与上年相比无变化。</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本单位机关运行经费支出预算数为4.68万元，较2019年减少3.02万元，其中：办公费支出1.71万元、印刷费支出1万元、差旅费支出0.3万元等。主要增减变化情况：严格按照省市县接待标准，中央“八项规定”勤俭节约，减少办公费、印刷费、差旅费等。</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本部门2020年度政府采购安排0万元，其中：政府采购货物支出0万元、政府采购工程支出0万元、政府采购服务支出0万元。授予中小企业合同金额0万元，占政府采购支出总额的0%。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shd w:val="clear" w:color="auto" w:fill="FFFFFF"/>
        </w:rPr>
        <w:t>截止201</w:t>
      </w:r>
      <w:r>
        <w:rPr>
          <w:rFonts w:hint="eastAsia" w:ascii="仿宋_GB2312" w:hAnsi="仿宋_GB2312" w:eastAsia="仿宋_GB2312" w:cs="仿宋_GB2312"/>
          <w:sz w:val="32"/>
          <w:szCs w:val="32"/>
          <w:shd w:val="clear" w:color="auto" w:fill="FFFFFF"/>
          <w:lang w:val="en-US" w:eastAsia="zh-CN"/>
        </w:rPr>
        <w:t>9</w:t>
      </w:r>
      <w:r>
        <w:rPr>
          <w:rFonts w:hint="eastAsia" w:ascii="仿宋_GB2312" w:hAnsi="仿宋_GB2312" w:eastAsia="仿宋_GB2312" w:cs="仿宋_GB2312"/>
          <w:sz w:val="32"/>
          <w:szCs w:val="32"/>
          <w:shd w:val="clear" w:color="auto" w:fill="FFFFFF"/>
        </w:rPr>
        <w:t>年12月31日，本单位资产总额</w:t>
      </w:r>
      <w:r>
        <w:rPr>
          <w:rFonts w:hint="eastAsia" w:ascii="仿宋_GB2312" w:hAnsi="仿宋_GB2312" w:eastAsia="仿宋_GB2312" w:cs="仿宋_GB2312"/>
          <w:sz w:val="32"/>
          <w:szCs w:val="32"/>
          <w:shd w:val="clear" w:color="auto" w:fill="FFFFFF"/>
          <w:lang w:val="en-US" w:eastAsia="zh-CN"/>
        </w:rPr>
        <w:t>8.4</w:t>
      </w:r>
      <w:r>
        <w:rPr>
          <w:rFonts w:hint="eastAsia" w:ascii="仿宋_GB2312" w:hAnsi="仿宋_GB2312" w:eastAsia="仿宋_GB2312" w:cs="仿宋_GB2312"/>
          <w:sz w:val="32"/>
          <w:szCs w:val="32"/>
          <w:shd w:val="clear" w:color="auto" w:fill="FFFFFF"/>
        </w:rPr>
        <w:t>万元，其中流动资产0万元，固定资产</w:t>
      </w:r>
      <w:r>
        <w:rPr>
          <w:rFonts w:hint="eastAsia" w:ascii="仿宋_GB2312" w:hAnsi="仿宋_GB2312" w:eastAsia="仿宋_GB2312" w:cs="仿宋_GB2312"/>
          <w:sz w:val="32"/>
          <w:szCs w:val="32"/>
          <w:shd w:val="clear" w:color="auto" w:fill="FFFFFF"/>
          <w:lang w:val="en-US" w:eastAsia="zh-CN"/>
        </w:rPr>
        <w:t>7.95</w:t>
      </w:r>
      <w:r>
        <w:rPr>
          <w:rFonts w:hint="eastAsia" w:ascii="仿宋_GB2312" w:hAnsi="仿宋_GB2312" w:eastAsia="仿宋_GB2312" w:cs="仿宋_GB2312"/>
          <w:sz w:val="32"/>
          <w:szCs w:val="32"/>
          <w:shd w:val="clear" w:color="auto" w:fill="FFFFFF"/>
        </w:rPr>
        <w:t>万元，在建工程0万元，无形资产0.</w:t>
      </w:r>
      <w:r>
        <w:rPr>
          <w:rFonts w:hint="eastAsia" w:ascii="仿宋_GB2312" w:hAnsi="仿宋_GB2312" w:eastAsia="仿宋_GB2312" w:cs="仿宋_GB2312"/>
          <w:sz w:val="32"/>
          <w:szCs w:val="32"/>
          <w:shd w:val="clear" w:color="auto" w:fill="FFFFFF"/>
          <w:lang w:val="en-US" w:eastAsia="zh-CN"/>
        </w:rPr>
        <w:t>45</w:t>
      </w:r>
      <w:r>
        <w:rPr>
          <w:rFonts w:hint="eastAsia" w:ascii="仿宋_GB2312" w:hAnsi="仿宋_GB2312" w:eastAsia="仿宋_GB2312" w:cs="仿宋_GB2312"/>
          <w:sz w:val="32"/>
          <w:szCs w:val="32"/>
          <w:shd w:val="clear" w:color="auto" w:fill="FFFFFF"/>
        </w:rPr>
        <w:t>万元。固定资产当中，房屋构筑物 0万元，汽车1辆</w:t>
      </w:r>
      <w:r>
        <w:rPr>
          <w:rFonts w:hint="eastAsia" w:ascii="仿宋_GB2312" w:hAnsi="仿宋_GB2312" w:eastAsia="仿宋_GB2312" w:cs="仿宋_GB2312"/>
          <w:sz w:val="32"/>
          <w:szCs w:val="32"/>
          <w:shd w:val="clear" w:color="auto" w:fill="FFFFFF"/>
          <w:lang w:eastAsia="zh-CN"/>
        </w:rPr>
        <w:t>已完成折旧</w:t>
      </w:r>
      <w:r>
        <w:rPr>
          <w:rFonts w:hint="eastAsia" w:ascii="仿宋_GB2312" w:hAnsi="仿宋_GB2312" w:eastAsia="仿宋_GB2312" w:cs="仿宋_GB2312"/>
          <w:sz w:val="32"/>
          <w:szCs w:val="32"/>
          <w:shd w:val="clear" w:color="auto" w:fill="FFFFFF"/>
        </w:rPr>
        <w:t>，单价200万元以上大型设备价值 0万元，其他固定资产</w:t>
      </w:r>
      <w:r>
        <w:rPr>
          <w:rFonts w:hint="eastAsia" w:ascii="仿宋_GB2312" w:hAnsi="仿宋_GB2312" w:eastAsia="仿宋_GB2312" w:cs="仿宋_GB2312"/>
          <w:sz w:val="32"/>
          <w:szCs w:val="32"/>
          <w:shd w:val="clear" w:color="auto" w:fill="FFFFFF"/>
          <w:lang w:val="en-US" w:eastAsia="zh-CN"/>
        </w:rPr>
        <w:t>7.95</w:t>
      </w:r>
      <w:r>
        <w:rPr>
          <w:rFonts w:hint="eastAsia" w:ascii="仿宋_GB2312" w:hAnsi="仿宋_GB2312" w:eastAsia="仿宋_GB2312" w:cs="仿宋_GB2312"/>
          <w:sz w:val="32"/>
          <w:szCs w:val="32"/>
          <w:shd w:val="clear" w:color="auto" w:fill="FFFFFF"/>
        </w:rPr>
        <w:t>万元。 </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与上年相比，本年资产总额增加0万元。 </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本单位本年度无项目支出预算，无此项说明。</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本部门2020年度一般公共预算“三公”经费预算数为0万元，与2019年度无差异。其中：</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（一）因公出国（境）支出年初预算数为0万元，因公出国（境）团组数为0，人数为0。较2019年增加（减少）0万元，增长（下降）0%。</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（二）公务接待费支出年初预算数为0万元，较2019年无差异。</w:t>
      </w:r>
    </w:p>
    <w:p>
      <w:pPr>
        <w:pStyle w:val="4"/>
        <w:widowControl/>
        <w:spacing w:before="150" w:beforeAutospacing="0" w:after="150" w:afterAutospacing="0" w:line="465" w:lineRule="atLeast"/>
        <w:ind w:firstLine="555"/>
        <w:jc w:val="both"/>
        <w:rPr>
          <w:rFonts w:hint="default"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（三）公务用车购置及运行维护费支出0万元，其中公务用车购置年初预算数为0万元，较2019年无差异；公务用车运行维护费支出年初预算数为0万元，较2019</w:t>
      </w:r>
      <w:bookmarkStart w:id="0" w:name="_GoBack"/>
      <w:bookmarkEnd w:id="0"/>
      <w:r>
        <w:rPr>
          <w:rFonts w:hint="eastAsia" w:ascii="仿宋_GB2312" w:hAnsi="仿宋_GB2312" w:eastAsia="仿宋_GB2312" w:cs="仿宋_GB2312"/>
          <w:sz w:val="32"/>
          <w:szCs w:val="32"/>
          <w:shd w:val="clear" w:color="auto" w:fill="FFFFFF"/>
          <w:lang w:val="en-US" w:eastAsia="zh-CN"/>
        </w:rPr>
        <w:t>年无差异。本年度公务用车购置数0辆，公务用车保有量0辆。</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lang w:val="en-US" w:eastAsia="zh-CN"/>
        </w:rPr>
        <w:t>本单位本年度无此项预算，故无此项说明</w:t>
      </w:r>
    </w:p>
    <w:p>
      <w:pPr>
        <w:pStyle w:val="4"/>
        <w:widowControl/>
        <w:spacing w:before="150" w:beforeAutospacing="0" w:after="150" w:afterAutospacing="0" w:line="465" w:lineRule="atLeast"/>
        <w:ind w:firstLine="555"/>
        <w:jc w:val="both"/>
        <w:rPr>
          <w:rFonts w:hint="eastAsia" w:ascii="仿宋_GB2312" w:hAnsi="仿宋_GB2312" w:eastAsia="仿宋_GB2312" w:cs="仿宋_GB2312"/>
          <w:sz w:val="32"/>
          <w:szCs w:val="32"/>
          <w:shd w:val="clear" w:color="auto" w:fill="FFFFFF"/>
          <w:lang w:val="en-US" w:eastAsia="zh-CN"/>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2CC2737"/>
    <w:rsid w:val="05E42E29"/>
    <w:rsid w:val="061E09E3"/>
    <w:rsid w:val="06A43BA7"/>
    <w:rsid w:val="087A6196"/>
    <w:rsid w:val="0C5A5250"/>
    <w:rsid w:val="0C64513E"/>
    <w:rsid w:val="0DE649EC"/>
    <w:rsid w:val="0EE25EB1"/>
    <w:rsid w:val="102D3EF8"/>
    <w:rsid w:val="10CB3E8D"/>
    <w:rsid w:val="11F35FF2"/>
    <w:rsid w:val="179A58B8"/>
    <w:rsid w:val="1B4A6025"/>
    <w:rsid w:val="1DF453AF"/>
    <w:rsid w:val="1E107510"/>
    <w:rsid w:val="1E643EFE"/>
    <w:rsid w:val="209E0EC3"/>
    <w:rsid w:val="22140CC1"/>
    <w:rsid w:val="245E2E24"/>
    <w:rsid w:val="24D63713"/>
    <w:rsid w:val="295730B5"/>
    <w:rsid w:val="2A937DAC"/>
    <w:rsid w:val="2DB60033"/>
    <w:rsid w:val="2F754CA8"/>
    <w:rsid w:val="2FB928F6"/>
    <w:rsid w:val="341824CB"/>
    <w:rsid w:val="343F3937"/>
    <w:rsid w:val="34D53928"/>
    <w:rsid w:val="36870474"/>
    <w:rsid w:val="37015ED3"/>
    <w:rsid w:val="39E01B38"/>
    <w:rsid w:val="3F5C42DA"/>
    <w:rsid w:val="410C2F9C"/>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35C762A"/>
    <w:rsid w:val="6FD93AE0"/>
    <w:rsid w:val="71715484"/>
    <w:rsid w:val="71FC58C7"/>
    <w:rsid w:val="7249546B"/>
    <w:rsid w:val="729F0AAD"/>
    <w:rsid w:val="75F45C0F"/>
    <w:rsid w:val="79BD1BE6"/>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字符"/>
    <w:basedOn w:val="6"/>
    <w:link w:val="3"/>
    <w:qFormat/>
    <w:uiPriority w:val="0"/>
    <w:rPr>
      <w:rFonts w:asciiTheme="minorHAnsi" w:hAnsiTheme="minorHAnsi" w:eastAsiaTheme="minorEastAsia" w:cstheme="minorBidi"/>
      <w:kern w:val="2"/>
      <w:sz w:val="18"/>
      <w:szCs w:val="18"/>
    </w:rPr>
  </w:style>
  <w:style w:type="character" w:customStyle="1" w:styleId="9">
    <w:name w:val="页脚 字符"/>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12</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隆妈</cp:lastModifiedBy>
  <cp:lastPrinted>2019-09-11T06:01:00Z</cp:lastPrinted>
  <dcterms:modified xsi:type="dcterms:W3CDTF">2021-06-03T09:33:01Z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