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theme="minorEastAsia"/>
          <w:sz w:val="44"/>
          <w:szCs w:val="44"/>
        </w:rPr>
      </w:pPr>
    </w:p>
    <w:p>
      <w:pPr>
        <w:jc w:val="center"/>
        <w:rPr>
          <w:rFonts w:ascii="黑体" w:hAnsi="黑体" w:eastAsia="黑体" w:cstheme="minorEastAsia"/>
          <w:color w:val="000000" w:themeColor="text1"/>
          <w:sz w:val="44"/>
          <w:szCs w:val="44"/>
        </w:rPr>
      </w:pPr>
      <w:r>
        <w:rPr>
          <w:rFonts w:hint="eastAsia" w:ascii="黑体" w:hAnsi="黑体" w:eastAsia="黑体" w:cstheme="minorEastAsia"/>
          <w:color w:val="000000" w:themeColor="text1"/>
          <w:sz w:val="44"/>
          <w:szCs w:val="44"/>
        </w:rPr>
        <w:t>襄垣县</w:t>
      </w:r>
      <w:r>
        <w:rPr>
          <w:rFonts w:hint="eastAsia" w:ascii="Arial" w:hAnsi="Arial" w:eastAsia="黑体" w:cs="Arial"/>
          <w:color w:val="000000" w:themeColor="text1"/>
          <w:sz w:val="44"/>
          <w:szCs w:val="44"/>
        </w:rPr>
        <w:t>王桥镇人民政府</w:t>
      </w:r>
    </w:p>
    <w:p>
      <w:pPr>
        <w:jc w:val="center"/>
        <w:rPr>
          <w:rFonts w:ascii="黑体" w:hAnsi="黑体" w:eastAsia="黑体" w:cstheme="minorEastAsia"/>
          <w:color w:val="000000" w:themeColor="text1"/>
          <w:sz w:val="44"/>
          <w:szCs w:val="44"/>
        </w:rPr>
      </w:pPr>
      <w:r>
        <w:rPr>
          <w:rFonts w:hint="eastAsia" w:ascii="黑体" w:hAnsi="黑体" w:eastAsia="黑体" w:cstheme="minorEastAsia"/>
          <w:color w:val="000000" w:themeColor="text1"/>
          <w:sz w:val="44"/>
          <w:szCs w:val="44"/>
        </w:rPr>
        <w:t>2020年部门预算公开情况说明</w:t>
      </w:r>
    </w:p>
    <w:p>
      <w:pPr>
        <w:ind w:firstLine="640" w:firstLineChars="200"/>
        <w:rPr>
          <w:rFonts w:asciiTheme="minorEastAsia" w:hAnsiTheme="minorEastAsia" w:cstheme="minorEastAsia"/>
          <w:color w:val="000000" w:themeColor="text1"/>
          <w:sz w:val="32"/>
          <w:szCs w:val="32"/>
        </w:rPr>
      </w:pPr>
    </w:p>
    <w:p>
      <w:pPr>
        <w:ind w:firstLine="643" w:firstLineChars="200"/>
        <w:rPr>
          <w:rFonts w:ascii="楷体" w:hAnsi="楷体" w:eastAsia="楷体" w:cstheme="minorEastAsia"/>
          <w:b/>
          <w:color w:val="000000" w:themeColor="text1"/>
          <w:sz w:val="32"/>
          <w:szCs w:val="32"/>
        </w:rPr>
      </w:pPr>
      <w:r>
        <w:rPr>
          <w:rFonts w:hint="eastAsia" w:ascii="楷体" w:hAnsi="楷体" w:eastAsia="楷体" w:cstheme="minorEastAsia"/>
          <w:b/>
          <w:color w:val="000000" w:themeColor="text1"/>
          <w:sz w:val="32"/>
          <w:szCs w:val="32"/>
        </w:rPr>
        <w:t>一、部门主要职能</w:t>
      </w:r>
    </w:p>
    <w:p>
      <w:pPr>
        <w:ind w:firstLine="600" w:firstLineChars="200"/>
        <w:rPr>
          <w:rFonts w:ascii="仿宋" w:hAnsi="仿宋" w:eastAsia="仿宋" w:cs="仿宋_GB2312"/>
          <w:color w:val="000000" w:themeColor="text1"/>
          <w:sz w:val="30"/>
          <w:szCs w:val="30"/>
        </w:rPr>
      </w:pPr>
      <w:r>
        <w:rPr>
          <w:rFonts w:hint="eastAsia" w:ascii="仿宋" w:hAnsi="仿宋" w:eastAsia="仿宋" w:cs="仿宋_GB2312"/>
          <w:color w:val="000000" w:themeColor="text1"/>
          <w:sz w:val="30"/>
          <w:szCs w:val="30"/>
        </w:rPr>
        <w:t>1（1）制定和组织实施经济、科技和社会发展计划，制定资源开发技术改造和产业结构调整方案，组织指导好各业生产，搞好商品流通，协调好本镇与外地区的经济交流与合作，抓好招商引资，人才引进项目开发，不断培育市场体系，组织经济运行，促进经济发展。</w:t>
      </w:r>
    </w:p>
    <w:p>
      <w:pPr>
        <w:ind w:firstLine="600" w:firstLineChars="200"/>
        <w:rPr>
          <w:rFonts w:ascii="仿宋" w:hAnsi="仿宋" w:eastAsia="仿宋" w:cs="仿宋_GB2312"/>
          <w:color w:val="000000" w:themeColor="text1"/>
          <w:sz w:val="30"/>
          <w:szCs w:val="30"/>
        </w:rPr>
      </w:pPr>
      <w:r>
        <w:rPr>
          <w:rFonts w:hint="eastAsia" w:ascii="仿宋" w:hAnsi="仿宋" w:eastAsia="仿宋" w:cs="仿宋_GB2312"/>
          <w:color w:val="000000" w:themeColor="text1"/>
          <w:sz w:val="30"/>
          <w:szCs w:val="30"/>
        </w:rPr>
        <w:t>（2）制定并组织实施村镇建设规划，部署重点工程建设，地方道路建设及公共设施，水利设施的管理，负责土地、林木、水等自然资源和生态环境的保护，做好护林防火工作。</w:t>
      </w:r>
    </w:p>
    <w:p>
      <w:pPr>
        <w:ind w:firstLine="600" w:firstLineChars="200"/>
        <w:rPr>
          <w:rFonts w:ascii="仿宋" w:hAnsi="仿宋" w:eastAsia="仿宋" w:cs="仿宋_GB2312"/>
          <w:color w:val="000000" w:themeColor="text1"/>
          <w:sz w:val="30"/>
          <w:szCs w:val="30"/>
        </w:rPr>
      </w:pPr>
      <w:r>
        <w:rPr>
          <w:rFonts w:hint="eastAsia" w:ascii="仿宋" w:hAnsi="仿宋" w:eastAsia="仿宋" w:cs="仿宋_GB2312"/>
          <w:color w:val="000000" w:themeColor="text1"/>
          <w:sz w:val="30"/>
          <w:szCs w:val="30"/>
        </w:rPr>
        <w:t>（3）负责本行政区域内的民政、计划生育、文化教育、卫生、体育等社会公益事业的综合性工作，维护一切经济单位和个人的正当经济权益，取缔非法经济活动，调解和处理民事纠纷，打击刑事犯罪维护社会稳定。</w:t>
      </w:r>
    </w:p>
    <w:p>
      <w:pPr>
        <w:ind w:firstLine="600" w:firstLineChars="200"/>
        <w:rPr>
          <w:rFonts w:ascii="仿宋" w:hAnsi="仿宋" w:eastAsia="仿宋" w:cs="仿宋_GB2312"/>
          <w:color w:val="000000" w:themeColor="text1"/>
          <w:sz w:val="30"/>
          <w:szCs w:val="30"/>
        </w:rPr>
      </w:pPr>
      <w:r>
        <w:rPr>
          <w:rFonts w:hint="eastAsia" w:ascii="仿宋" w:hAnsi="仿宋" w:eastAsia="仿宋" w:cs="仿宋_GB2312"/>
          <w:color w:val="000000" w:themeColor="text1"/>
          <w:sz w:val="30"/>
          <w:szCs w:val="30"/>
        </w:rPr>
        <w:t>（4）按计划组织本级财政收入和地方税的征收，完成国家财政计划，不断培植税源，管好财政资金，增强财政实力。</w:t>
      </w:r>
    </w:p>
    <w:p>
      <w:pPr>
        <w:ind w:firstLine="600" w:firstLineChars="200"/>
        <w:rPr>
          <w:rFonts w:ascii="仿宋" w:hAnsi="仿宋" w:eastAsia="仿宋" w:cs="仿宋_GB2312"/>
          <w:color w:val="000000" w:themeColor="text1"/>
          <w:sz w:val="30"/>
          <w:szCs w:val="30"/>
        </w:rPr>
      </w:pPr>
      <w:r>
        <w:rPr>
          <w:rFonts w:hint="eastAsia" w:ascii="仿宋" w:hAnsi="仿宋" w:eastAsia="仿宋" w:cs="仿宋_GB2312"/>
          <w:color w:val="000000" w:themeColor="text1"/>
          <w:sz w:val="30"/>
          <w:szCs w:val="30"/>
        </w:rPr>
        <w:t>（5）抓好精神文明建设，丰富群众文化生活，提倡移风易俗，反对封建迷信，破除陈规陋习，树立社会主义新风尚。</w:t>
      </w:r>
    </w:p>
    <w:p>
      <w:pPr>
        <w:ind w:firstLine="600" w:firstLineChars="200"/>
        <w:rPr>
          <w:rFonts w:ascii="仿宋" w:hAnsi="仿宋" w:eastAsia="仿宋" w:cs="仿宋_GB2312"/>
          <w:color w:val="000000" w:themeColor="text1"/>
          <w:sz w:val="30"/>
          <w:szCs w:val="30"/>
        </w:rPr>
      </w:pPr>
      <w:r>
        <w:rPr>
          <w:rFonts w:hint="eastAsia" w:ascii="仿宋" w:hAnsi="仿宋" w:eastAsia="仿宋" w:cs="仿宋_GB2312"/>
          <w:color w:val="000000" w:themeColor="text1"/>
          <w:sz w:val="30"/>
          <w:szCs w:val="30"/>
        </w:rPr>
        <w:t>（6）完成上级政府交办的其它事项。</w:t>
      </w:r>
    </w:p>
    <w:p>
      <w:pPr>
        <w:ind w:firstLine="643" w:firstLineChars="200"/>
        <w:rPr>
          <w:rFonts w:ascii="楷体" w:hAnsi="楷体" w:eastAsia="楷体" w:cstheme="minorEastAsia"/>
          <w:b/>
          <w:color w:val="000000" w:themeColor="text1"/>
          <w:sz w:val="32"/>
          <w:szCs w:val="32"/>
        </w:rPr>
      </w:pPr>
      <w:r>
        <w:rPr>
          <w:rFonts w:hint="eastAsia" w:ascii="楷体" w:hAnsi="楷体" w:eastAsia="楷体" w:cstheme="minorEastAsia"/>
          <w:b/>
          <w:color w:val="000000" w:themeColor="text1"/>
          <w:sz w:val="32"/>
          <w:szCs w:val="32"/>
        </w:rPr>
        <w:t>二、部门基本情况</w:t>
      </w:r>
    </w:p>
    <w:p>
      <w:pPr>
        <w:widowControl/>
        <w:spacing w:line="324" w:lineRule="atLeast"/>
        <w:ind w:left="540"/>
        <w:jc w:val="left"/>
        <w:rPr>
          <w:rFonts w:ascii="仿宋_GB2312" w:hAnsi="楷体" w:eastAsia="仿宋_GB2312" w:cs="宋体"/>
          <w:bCs/>
          <w:color w:val="000000" w:themeColor="text1"/>
          <w:kern w:val="0"/>
          <w:sz w:val="18"/>
          <w:szCs w:val="18"/>
        </w:rPr>
      </w:pPr>
      <w:r>
        <w:rPr>
          <w:rFonts w:hint="eastAsia" w:ascii="仿宋_GB2312" w:hAnsi="楷体" w:eastAsia="仿宋_GB2312" w:cs="宋体"/>
          <w:bCs/>
          <w:color w:val="000000" w:themeColor="text1"/>
          <w:kern w:val="0"/>
          <w:sz w:val="32"/>
          <w:szCs w:val="32"/>
        </w:rPr>
        <w:t>（一）机构设置情况</w:t>
      </w:r>
    </w:p>
    <w:p>
      <w:pPr>
        <w:widowControl/>
        <w:spacing w:line="324" w:lineRule="atLeast"/>
        <w:ind w:left="540"/>
        <w:jc w:val="left"/>
        <w:rPr>
          <w:rFonts w:ascii="仿宋" w:hAnsi="仿宋" w:eastAsia="仿宋" w:cs="仿宋_GB2312"/>
          <w:color w:val="000000" w:themeColor="text1"/>
          <w:sz w:val="30"/>
          <w:szCs w:val="30"/>
        </w:rPr>
      </w:pPr>
      <w:r>
        <w:rPr>
          <w:rFonts w:hint="eastAsia" w:ascii="仿宋" w:hAnsi="仿宋" w:eastAsia="仿宋" w:cs="仿宋_GB2312"/>
          <w:color w:val="000000" w:themeColor="text1"/>
          <w:sz w:val="30"/>
          <w:szCs w:val="30"/>
        </w:rPr>
        <w:t>王桥镇人民政府内设3个办公室：社会事务办公室、党政综合办公室、经济发展办公室；2个正股级事业单位：农村综合服务中心、民政工作服务中心。</w:t>
      </w:r>
    </w:p>
    <w:p>
      <w:pPr>
        <w:widowControl/>
        <w:spacing w:line="324" w:lineRule="atLeast"/>
        <w:ind w:left="540"/>
        <w:jc w:val="left"/>
        <w:rPr>
          <w:rFonts w:ascii="仿宋_GB2312" w:hAnsi="楷体" w:eastAsia="仿宋_GB2312" w:cs="宋体"/>
          <w:bCs/>
          <w:color w:val="000000" w:themeColor="text1"/>
          <w:kern w:val="0"/>
          <w:sz w:val="32"/>
          <w:szCs w:val="32"/>
        </w:rPr>
      </w:pPr>
      <w:r>
        <w:rPr>
          <w:rFonts w:hint="eastAsia" w:ascii="仿宋_GB2312" w:hAnsi="楷体" w:eastAsia="仿宋_GB2312" w:cs="宋体"/>
          <w:bCs/>
          <w:color w:val="000000" w:themeColor="text1"/>
          <w:kern w:val="0"/>
          <w:sz w:val="32"/>
          <w:szCs w:val="32"/>
        </w:rPr>
        <w:t>（二）人员情况说明</w:t>
      </w:r>
    </w:p>
    <w:p>
      <w:pPr>
        <w:ind w:firstLine="640" w:firstLineChars="200"/>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现有行政编制31人，事业编制15人。</w:t>
      </w:r>
    </w:p>
    <w:p>
      <w:pPr>
        <w:ind w:firstLine="640" w:firstLineChars="200"/>
        <w:rPr>
          <w:rFonts w:ascii="黑体" w:hAnsi="黑体" w:eastAsia="黑体" w:cstheme="minorEastAsia"/>
          <w:color w:val="000000" w:themeColor="text1"/>
          <w:sz w:val="32"/>
          <w:szCs w:val="32"/>
        </w:rPr>
      </w:pPr>
      <w:r>
        <w:rPr>
          <w:rFonts w:hint="eastAsia" w:ascii="黑体" w:hAnsi="黑体" w:eastAsia="黑体" w:cstheme="minorEastAsia"/>
          <w:color w:val="000000" w:themeColor="text1"/>
          <w:sz w:val="32"/>
          <w:szCs w:val="32"/>
        </w:rPr>
        <w:t>三、预算收支增减变化情况说明</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王桥镇人民政府部门2020年度收入、支出预算总计1315.3万元，与上年相比收、支预算总计各增加298.78万元，增长29.39 %。主要原因是城乡社区建设增加。其中：</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（一）收入预算总计1315.3万元。包括：</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1．财政拨款收入预算总计1315.3万元。</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（1）一般公共预算收入预算533.25万元，与上年相比增加83.57万元，增长18.58%。主要原因是工资正常增长、等原因。</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（2）政府性基金收入预算0万元，与上年相比增加（无变动。</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2．财政专户管理资金收入预算总计</w:t>
      </w:r>
      <w:r>
        <w:rPr>
          <w:rFonts w:hint="eastAsia" w:ascii="仿宋" w:hAnsi="仿宋" w:eastAsia="仿宋" w:cs="仿宋_GB2312"/>
          <w:color w:val="000000" w:themeColor="text1"/>
          <w:sz w:val="32"/>
          <w:szCs w:val="32"/>
          <w:lang w:val="en-US" w:eastAsia="zh-CN"/>
        </w:rPr>
        <w:t>0</w:t>
      </w:r>
      <w:r>
        <w:rPr>
          <w:rFonts w:hint="eastAsia" w:ascii="仿宋" w:hAnsi="仿宋" w:eastAsia="仿宋" w:cs="仿宋_GB2312"/>
          <w:color w:val="000000" w:themeColor="text1"/>
          <w:sz w:val="32"/>
          <w:szCs w:val="32"/>
        </w:rPr>
        <w:t>万元。与上年相比</w:t>
      </w:r>
      <w:r>
        <w:rPr>
          <w:rFonts w:hint="eastAsia" w:ascii="仿宋" w:hAnsi="仿宋" w:eastAsia="仿宋" w:cs="仿宋_GB2312"/>
          <w:color w:val="000000" w:themeColor="text1"/>
          <w:sz w:val="32"/>
          <w:szCs w:val="32"/>
          <w:lang w:eastAsia="zh-CN"/>
        </w:rPr>
        <w:t>无变化</w:t>
      </w:r>
      <w:bookmarkStart w:id="0" w:name="_GoBack"/>
      <w:bookmarkEnd w:id="0"/>
      <w:r>
        <w:rPr>
          <w:rFonts w:hint="eastAsia" w:ascii="仿宋" w:hAnsi="仿宋" w:eastAsia="仿宋" w:cs="仿宋_GB2312"/>
          <w:color w:val="000000" w:themeColor="text1"/>
          <w:sz w:val="32"/>
          <w:szCs w:val="32"/>
        </w:rPr>
        <w:t>。</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3．其他资金收入预算总计0万元。与上年相比无变动。</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4．上年结转资金预算数为0万元。与上年相比无变动。</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（二）支出预算总计  万元。包括：</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1．一般公共服务（类）支出424.4万元，与上年相比增加39.9万元，增长10.38%。主要原因是工资变动。</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2．公共安全（类）支出0万元，与上年相比无变动。</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3．结转下年资金预算数为0万元，</w:t>
      </w:r>
      <w:r>
        <w:rPr>
          <w:rFonts w:ascii="仿宋" w:hAnsi="仿宋" w:eastAsia="仿宋" w:cs="仿宋_GB2312"/>
          <w:color w:val="000000" w:themeColor="text1"/>
          <w:sz w:val="32"/>
          <w:szCs w:val="32"/>
        </w:rPr>
        <w:t xml:space="preserve"> </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此外，基本支出预算数为560.97万元。与上年相比增加59.64万元，增长11.9%。主要原因是工资变动。</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项目支出预算数为754.33万元。与上年相比增加239.14</w:t>
      </w:r>
    </w:p>
    <w:p>
      <w:pPr>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万元，增长46.42%。主要原因是增加城乡建设支出。</w:t>
      </w:r>
    </w:p>
    <w:p>
      <w:pPr>
        <w:ind w:firstLine="645"/>
        <w:rPr>
          <w:rFonts w:ascii="仿宋" w:hAnsi="仿宋" w:eastAsia="仿宋" w:cs="仿宋_GB2312"/>
          <w:color w:val="000000" w:themeColor="text1"/>
          <w:sz w:val="32"/>
          <w:szCs w:val="32"/>
        </w:rPr>
      </w:pPr>
      <w:r>
        <w:rPr>
          <w:rFonts w:hint="eastAsia" w:ascii="仿宋" w:hAnsi="仿宋" w:eastAsia="仿宋" w:cs="仿宋_GB2312"/>
          <w:color w:val="000000" w:themeColor="text1"/>
          <w:sz w:val="32"/>
          <w:szCs w:val="32"/>
        </w:rPr>
        <w:t>单位预留机动经费预算数为0万元。与上年相比无变动。</w:t>
      </w:r>
    </w:p>
    <w:p>
      <w:pPr>
        <w:ind w:firstLine="640" w:firstLineChars="200"/>
        <w:rPr>
          <w:rFonts w:ascii="楷体" w:hAnsi="楷体" w:eastAsia="楷体" w:cstheme="minorEastAsia"/>
          <w:bCs/>
          <w:color w:val="000000" w:themeColor="text1"/>
          <w:sz w:val="32"/>
          <w:szCs w:val="32"/>
        </w:rPr>
      </w:pPr>
      <w:r>
        <w:rPr>
          <w:rFonts w:hint="eastAsia" w:ascii="楷体" w:hAnsi="楷体" w:eastAsia="楷体" w:cstheme="minorEastAsia"/>
          <w:bCs/>
          <w:color w:val="000000" w:themeColor="text1"/>
          <w:sz w:val="32"/>
          <w:szCs w:val="32"/>
        </w:rPr>
        <w:t>四、机关运行经费安排情况说明</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本单位机关运行经费支出预算数为106.36万元，其中：办公费支出14.18万元、印刷费支出2.15万元、差旅费支出1万元等。</w:t>
      </w:r>
    </w:p>
    <w:p>
      <w:pPr>
        <w:ind w:firstLine="640" w:firstLineChars="200"/>
        <w:rPr>
          <w:rFonts w:ascii="楷体" w:hAnsi="楷体" w:eastAsia="楷体" w:cstheme="minorEastAsia"/>
          <w:bCs/>
          <w:color w:val="000000" w:themeColor="text1"/>
          <w:sz w:val="32"/>
          <w:szCs w:val="32"/>
        </w:rPr>
      </w:pPr>
      <w:r>
        <w:rPr>
          <w:rFonts w:hint="eastAsia" w:ascii="仿宋_GB2312" w:eastAsia="仿宋_GB2312" w:hAnsiTheme="minorEastAsia" w:cstheme="minorEastAsia"/>
          <w:color w:val="000000" w:themeColor="text1"/>
          <w:sz w:val="32"/>
          <w:szCs w:val="32"/>
        </w:rPr>
        <w:t>五、</w:t>
      </w:r>
      <w:r>
        <w:rPr>
          <w:rFonts w:hint="eastAsia" w:ascii="楷体" w:hAnsi="楷体" w:eastAsia="楷体" w:cstheme="minorEastAsia"/>
          <w:bCs/>
          <w:color w:val="000000" w:themeColor="text1"/>
          <w:sz w:val="32"/>
          <w:szCs w:val="32"/>
        </w:rPr>
        <w:t>政府采购安排情况说明</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本部门2020年度政府采购安排9.66万元，其中：政府采购货物支出9.66万元、政府采购工程支出0万元、政府采购服务支出0万元。授予中小企业合同金额0万元，占政府采购支出总额的100%。</w:t>
      </w:r>
    </w:p>
    <w:p>
      <w:pPr>
        <w:ind w:firstLine="640" w:firstLineChars="200"/>
        <w:rPr>
          <w:rFonts w:ascii="楷体" w:hAnsi="楷体" w:eastAsia="楷体" w:cstheme="minorEastAsia"/>
          <w:bCs/>
          <w:color w:val="000000" w:themeColor="text1"/>
          <w:sz w:val="32"/>
          <w:szCs w:val="32"/>
        </w:rPr>
      </w:pPr>
      <w:r>
        <w:rPr>
          <w:rFonts w:hint="eastAsia" w:ascii="楷体" w:hAnsi="楷体" w:eastAsia="楷体" w:cstheme="minorEastAsia"/>
          <w:bCs/>
          <w:color w:val="000000" w:themeColor="text1"/>
          <w:sz w:val="32"/>
          <w:szCs w:val="32"/>
        </w:rPr>
        <w:t>六、对专业性较强的名词进行解释</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（一）财政拨款收入：指单位本年度从本级财政部门取得的财政拨款，包括一般公共预算财政拨款和政府性基金预算财政拨款。</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（二）上级补助收入：指事业单位从主管部门和上级单位取得的非财政补助收入。</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 xml:space="preserve">（三）事业收入：指事业单位开展专业业务活动及其辅助活动取得的收入；事业单位收到的财政专户实际核拨的教育收费等资金在此反映。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（四）经营收入：指事业单位在专业业务活动及其辅助活动之外开展非独立核算经营活动取得的收入。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（五）附属单位缴款：指事业单位附属独立核算单位按照有关规定上缴的收入。</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 xml:space="preserve">（六）其他收入：指单位取得的除上述“财政拨款收入”、“事业收入”、“经营收入”、“附属单位缴款”等以外的各项收入。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 xml:space="preserve">（七）用事业基金弥补收支差额：指事业单位用事业基金弥补当年收支差额的数额。 </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 xml:space="preserve">（八）年初结转和结余：指单位上年结转本年使用的基本支出结转、项目支出结转和结余和经营结余。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 xml:space="preserve">（九）结余分配：指事业单位按规定对非财政补助结余资金提取的职工福利基金、事业基金和缴纳的所得税，以及减少单位按规定应缴回的基本建设竣工项目结余资金。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（十）年末结转和结余资金：指单位结转下年的基本支出结转、项目支出结转和结余和经营结余。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 xml:space="preserve">（十一）基本支出：指为保障机构正常运转、完成日常工作任务而发生的人员支出和公用支出。 </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 xml:space="preserve">（十二）项目支出：指在基本支出之外为完成特定的行政任务或事业发展目标所发生的支出。 </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（十三）上缴上级支出：指事业单位按照财政部门和主管部门的规定上缴上级单位的支出。</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（十四）经营支出：指事业单位在专业业务活动及其辅助活动之外开展非独立核算经营活动发生的支出。</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（十五）对附属单位补助支出：指事业单位用财政补助收入之外的收入对附属单位补助发生的支出。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 xml:space="preserve">（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ascii="楷体" w:hAnsi="楷体" w:eastAsia="楷体" w:cstheme="minorEastAsia"/>
          <w:bCs/>
          <w:color w:val="000000" w:themeColor="text1"/>
          <w:sz w:val="32"/>
          <w:szCs w:val="32"/>
        </w:rPr>
      </w:pPr>
      <w:r>
        <w:rPr>
          <w:rFonts w:hint="eastAsia" w:ascii="楷体" w:hAnsi="楷体" w:eastAsia="楷体" w:cstheme="minorEastAsia"/>
          <w:bCs/>
          <w:color w:val="000000" w:themeColor="text1"/>
          <w:sz w:val="32"/>
          <w:szCs w:val="32"/>
        </w:rPr>
        <w:t>七、国有资产占用情况说明</w:t>
      </w:r>
    </w:p>
    <w:p>
      <w:pPr>
        <w:ind w:firstLine="640" w:firstLineChars="200"/>
        <w:rPr>
          <w:rFonts w:ascii="楷体" w:hAnsi="楷体" w:eastAsia="楷体" w:cstheme="minorEastAsia"/>
          <w:bCs/>
          <w:color w:val="000000" w:themeColor="text1"/>
          <w:sz w:val="32"/>
          <w:szCs w:val="32"/>
        </w:rPr>
      </w:pPr>
      <w:r>
        <w:rPr>
          <w:rFonts w:hint="eastAsia" w:ascii="仿宋_GB2312" w:hAnsi="仿宋_GB2312" w:eastAsia="仿宋_GB2312" w:cs="仿宋_GB2312"/>
          <w:color w:val="000000" w:themeColor="text1"/>
          <w:sz w:val="32"/>
          <w:szCs w:val="32"/>
          <w:shd w:val="clear" w:color="auto" w:fill="FFFFFF"/>
        </w:rPr>
        <w:t>截止2019年12月31日，本单位资产总额 48496.64万元，其中流动资产46736.46万元，固定资产611.82万元，在建工程 124.34万元。</w:t>
      </w:r>
    </w:p>
    <w:p>
      <w:pPr>
        <w:ind w:firstLine="640" w:firstLineChars="200"/>
        <w:rPr>
          <w:rFonts w:ascii="楷体" w:hAnsi="楷体" w:eastAsia="楷体" w:cstheme="minorEastAsia"/>
          <w:bCs/>
          <w:color w:val="000000" w:themeColor="text1"/>
          <w:sz w:val="32"/>
          <w:szCs w:val="32"/>
        </w:rPr>
      </w:pPr>
      <w:r>
        <w:rPr>
          <w:rFonts w:hint="eastAsia" w:ascii="楷体" w:hAnsi="楷体" w:eastAsia="楷体" w:cstheme="minorEastAsia"/>
          <w:bCs/>
          <w:color w:val="000000" w:themeColor="text1"/>
          <w:sz w:val="32"/>
          <w:szCs w:val="32"/>
        </w:rPr>
        <w:t>八、重点项目预算的绩效目标等预算绩效情况说明</w:t>
      </w:r>
    </w:p>
    <w:p>
      <w:pPr>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我单位本年度项目支出754.33万元，其中：重点项目支出0万元。本部门本年度不涉及预算绩效项目。</w:t>
      </w:r>
    </w:p>
    <w:p>
      <w:pPr>
        <w:ind w:firstLine="640" w:firstLineChars="200"/>
        <w:rPr>
          <w:rFonts w:ascii="楷体" w:hAnsi="楷体" w:eastAsia="楷体" w:cstheme="minorEastAsia"/>
          <w:bCs/>
          <w:color w:val="000000" w:themeColor="text1"/>
          <w:sz w:val="32"/>
          <w:szCs w:val="32"/>
        </w:rPr>
      </w:pPr>
      <w:r>
        <w:rPr>
          <w:rFonts w:hint="eastAsia" w:ascii="楷体" w:hAnsi="楷体" w:eastAsia="楷体" w:cstheme="minorEastAsia"/>
          <w:bCs/>
          <w:color w:val="000000" w:themeColor="text1"/>
          <w:sz w:val="32"/>
          <w:szCs w:val="32"/>
        </w:rPr>
        <w:t>九、一般公共预算“三公”经费支出增减变化原因等说明</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本部门2020年度一般公共预算“三公”经费预算数为万元，，较2019年减少万元，下降%，其中：</w:t>
      </w:r>
    </w:p>
    <w:p>
      <w:pPr>
        <w:numPr>
          <w:ilvl w:val="0"/>
          <w:numId w:val="1"/>
        </w:num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因公出国（境）支出年初预算数为0万元，因公出国（境）团组数为0，人数为0。较2018年增加（减少）0万元，增长（下降）0%。</w:t>
      </w:r>
    </w:p>
    <w:p>
      <w:pPr>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　　（二）公务接待费支出年初预算数为万元，较2018年减少万元，下降%。主要原因是：专项活动减少。本年度国内公务接待共 批次，共 人。</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三）公务用车购置及运行维护费支出0万元，其中公务用车购置年初预算数为0万元，较2018年增加（减少）0万元，增长（下降）0%；公务用车运行维护费支出年初预算数为5万元，较2019年减少1万元，下降20%。本年度公务用车购置数0辆，公务用车保有量3辆。</w:t>
      </w:r>
    </w:p>
    <w:p>
      <w:pPr>
        <w:ind w:firstLine="640" w:firstLineChars="200"/>
        <w:rPr>
          <w:rFonts w:ascii="楷体" w:hAnsi="楷体" w:eastAsia="楷体" w:cs="楷体"/>
          <w:color w:val="000000" w:themeColor="text1"/>
          <w:sz w:val="32"/>
          <w:szCs w:val="32"/>
        </w:rPr>
      </w:pPr>
      <w:r>
        <w:rPr>
          <w:rFonts w:hint="eastAsia" w:ascii="楷体" w:hAnsi="楷体" w:eastAsia="楷体" w:cs="楷体"/>
          <w:color w:val="000000" w:themeColor="text1"/>
          <w:sz w:val="32"/>
          <w:szCs w:val="32"/>
        </w:rPr>
        <w:t>十、政府性基金预算支出预算情况说明</w:t>
      </w:r>
    </w:p>
    <w:p>
      <w:pPr>
        <w:ind w:firstLine="640" w:firstLineChars="200"/>
        <w:rPr>
          <w:rFonts w:ascii="仿宋_GB2312" w:eastAsia="仿宋_GB2312" w:hAnsiTheme="minorEastAsia" w:cstheme="minorEastAsia"/>
          <w:color w:val="000000" w:themeColor="text1"/>
          <w:sz w:val="32"/>
          <w:szCs w:val="32"/>
        </w:rPr>
      </w:pPr>
      <w:r>
        <w:rPr>
          <w:rFonts w:hint="eastAsia" w:ascii="仿宋_GB2312" w:eastAsia="仿宋_GB2312" w:hAnsiTheme="minorEastAsia" w:cstheme="minorEastAsia"/>
          <w:color w:val="000000" w:themeColor="text1"/>
          <w:sz w:val="32"/>
          <w:szCs w:val="32"/>
        </w:rPr>
        <w:t>本单位本年度无此项预算，故无此项说明</w:t>
      </w: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8E87EB6"/>
    <w:rsid w:val="0001019D"/>
    <w:rsid w:val="000F714B"/>
    <w:rsid w:val="0011026C"/>
    <w:rsid w:val="001126B2"/>
    <w:rsid w:val="00121209"/>
    <w:rsid w:val="001330DE"/>
    <w:rsid w:val="001C0185"/>
    <w:rsid w:val="00276744"/>
    <w:rsid w:val="002A78F3"/>
    <w:rsid w:val="002B74C9"/>
    <w:rsid w:val="003343CB"/>
    <w:rsid w:val="00356142"/>
    <w:rsid w:val="00447A18"/>
    <w:rsid w:val="00481790"/>
    <w:rsid w:val="00585A88"/>
    <w:rsid w:val="005F2480"/>
    <w:rsid w:val="00643BE9"/>
    <w:rsid w:val="00696E76"/>
    <w:rsid w:val="00751A1A"/>
    <w:rsid w:val="00760ADC"/>
    <w:rsid w:val="007634B0"/>
    <w:rsid w:val="00835152"/>
    <w:rsid w:val="008524E1"/>
    <w:rsid w:val="008934C9"/>
    <w:rsid w:val="008C542A"/>
    <w:rsid w:val="008D5CA9"/>
    <w:rsid w:val="008E227D"/>
    <w:rsid w:val="009436C0"/>
    <w:rsid w:val="009B6471"/>
    <w:rsid w:val="009D21A8"/>
    <w:rsid w:val="009F2307"/>
    <w:rsid w:val="00A61D97"/>
    <w:rsid w:val="00B84099"/>
    <w:rsid w:val="00BD7E57"/>
    <w:rsid w:val="00BE0DC9"/>
    <w:rsid w:val="00C550B3"/>
    <w:rsid w:val="00C91007"/>
    <w:rsid w:val="00CC30DB"/>
    <w:rsid w:val="00CF14FA"/>
    <w:rsid w:val="00D25442"/>
    <w:rsid w:val="00D46F24"/>
    <w:rsid w:val="00D538F8"/>
    <w:rsid w:val="00DF3F81"/>
    <w:rsid w:val="00E74F60"/>
    <w:rsid w:val="014A06B6"/>
    <w:rsid w:val="01742A72"/>
    <w:rsid w:val="01DA336E"/>
    <w:rsid w:val="05E42E29"/>
    <w:rsid w:val="061E09E3"/>
    <w:rsid w:val="06A43BA7"/>
    <w:rsid w:val="087A6196"/>
    <w:rsid w:val="0C5A5250"/>
    <w:rsid w:val="0C64513E"/>
    <w:rsid w:val="0DE649EC"/>
    <w:rsid w:val="0EE25EB1"/>
    <w:rsid w:val="10CB3E8D"/>
    <w:rsid w:val="11F35FF2"/>
    <w:rsid w:val="179A58B8"/>
    <w:rsid w:val="1B4A6025"/>
    <w:rsid w:val="1DF453AF"/>
    <w:rsid w:val="1E107510"/>
    <w:rsid w:val="1E643EFE"/>
    <w:rsid w:val="209E0EC3"/>
    <w:rsid w:val="22140CC1"/>
    <w:rsid w:val="24D63713"/>
    <w:rsid w:val="2A937DAC"/>
    <w:rsid w:val="2DB60033"/>
    <w:rsid w:val="2F754CA8"/>
    <w:rsid w:val="2FB928F6"/>
    <w:rsid w:val="2FBC0CD4"/>
    <w:rsid w:val="341824CB"/>
    <w:rsid w:val="343F3937"/>
    <w:rsid w:val="34D53928"/>
    <w:rsid w:val="36870474"/>
    <w:rsid w:val="37015ED3"/>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5E0B45F3"/>
    <w:rsid w:val="60860A87"/>
    <w:rsid w:val="60B46440"/>
    <w:rsid w:val="61C6166E"/>
    <w:rsid w:val="635C762A"/>
    <w:rsid w:val="6FD93AE0"/>
    <w:rsid w:val="71715484"/>
    <w:rsid w:val="71FC58C7"/>
    <w:rsid w:val="7249546B"/>
    <w:rsid w:val="729F0AAD"/>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6">
    <w:name w:val="Strong"/>
    <w:basedOn w:val="5"/>
    <w:qFormat/>
    <w:uiPriority w:val="0"/>
    <w:rPr>
      <w:b/>
    </w:rPr>
  </w:style>
  <w:style w:type="character" w:customStyle="1" w:styleId="8">
    <w:name w:val="页眉 Char"/>
    <w:basedOn w:val="5"/>
    <w:link w:val="3"/>
    <w:qFormat/>
    <w:uiPriority w:val="0"/>
    <w:rPr>
      <w:rFonts w:asciiTheme="minorHAnsi" w:hAnsiTheme="minorHAnsi" w:eastAsiaTheme="minorEastAsia" w:cstheme="minorBidi"/>
      <w:kern w:val="2"/>
      <w:sz w:val="18"/>
      <w:szCs w:val="18"/>
    </w:rPr>
  </w:style>
  <w:style w:type="character" w:customStyle="1" w:styleId="9">
    <w:name w:val="页脚 Char"/>
    <w:basedOn w:val="5"/>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314626-1FC4-401B-AC5A-96B8276FED2F}">
  <ds:schemaRefs/>
</ds:datastoreItem>
</file>

<file path=docProps/app.xml><?xml version="1.0" encoding="utf-8"?>
<Properties xmlns="http://schemas.openxmlformats.org/officeDocument/2006/extended-properties" xmlns:vt="http://schemas.openxmlformats.org/officeDocument/2006/docPropsVTypes">
  <Template>Normal.dotm</Template>
  <Pages>7</Pages>
  <Words>440</Words>
  <Characters>2508</Characters>
  <Lines>20</Lines>
  <Paragraphs>5</Paragraphs>
  <TotalTime>23</TotalTime>
  <ScaleCrop>false</ScaleCrop>
  <LinksUpToDate>false</LinksUpToDate>
  <CharactersWithSpaces>2943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WPS_1598785978</cp:lastModifiedBy>
  <cp:lastPrinted>2019-09-11T06:01:00Z</cp:lastPrinted>
  <dcterms:modified xsi:type="dcterms:W3CDTF">2021-06-03T10:10:40Z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F8AC168E0CDC4D6BBB411B7F957A1AF8</vt:lpwstr>
  </property>
</Properties>
</file>