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color w:val="auto"/>
          <w:sz w:val="44"/>
          <w:szCs w:val="44"/>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Arial" w:hAnsi="Arial" w:eastAsia="黑体" w:cs="Arial"/>
          <w:color w:val="auto"/>
          <w:sz w:val="44"/>
          <w:szCs w:val="44"/>
          <w:lang w:eastAsia="zh-CN"/>
        </w:rPr>
        <w:t>人民医院</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整合优化县乡医疗卫生资源，为人民群众提供预防、医疗、康复、保健、健康教育、基本卫生、计划生育指导等一体化，全方位、全周期的医疗卫生计生服务。包括医疗卫生、公共卫生服务、康复保健、对外交流合作、综合管理、科研教学等。</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firstLine="320" w:firstLineChars="10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lang w:eastAsia="zh-CN"/>
        </w:rPr>
        <w:t>机构设置情况</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设置科室41个（其中临床科室19个，医技科室10个，行政职能科室12个），拥有普外科、神经内科、临床护理3个全省县级医院重点专科，产科1个全市县级医院专科，手术室拥有国内先进的层流洁净手术间5间，日开展手术可达20余台。</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襄垣县人民医院2020年度收入、支出预算总计2056.77万元，与上年相比收、支预算总计各增加11.24万元，增长0.55%。主要原因是人员退休、项目资金增加。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（一）收入预算总计2056.77万元。包括：</w:t>
      </w:r>
    </w:p>
    <w:p>
      <w:pPr>
        <w:ind w:firstLine="960" w:firstLineChars="3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一般公共预算收入预算2056.77万元，与上年相比增加11.24万元，增长0.55%。主要原因是人员退休、项目资金增加等原因。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（二）支出预算总计2056.77万元。包括：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1．基本支出1686.39万元，主要用于人员支出、对个人和家庭的补助支出、商品和服务支出。</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2．项目支出370.38万元，主要用于其他项目支出。</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本单位本年度无此预算，故无此项情况说明。</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本单位本年度无此预算，故无此项情况说明。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color w:val="auto"/>
          <w:sz w:val="30"/>
          <w:szCs w:val="30"/>
          <w:shd w:val="clear" w:color="auto" w:fill="FFFFFF"/>
        </w:rPr>
      </w:pPr>
      <w:r>
        <w:rPr>
          <w:rFonts w:hint="eastAsia" w:ascii="仿宋_GB2312" w:hAnsi="仿宋_GB2312" w:eastAsia="仿宋_GB2312" w:cs="仿宋_GB2312"/>
          <w:color w:val="auto"/>
          <w:sz w:val="30"/>
          <w:szCs w:val="30"/>
          <w:shd w:val="clear" w:color="auto" w:fill="FFFFFF"/>
        </w:rPr>
        <w:t xml:space="preserve">截止2019年12月31日，本单位资产总额21761.61 万元，其中流动资产 6770.75万元，固定资产13910.81 万元，在建工程1079.72万元，无形资产 0万元。固定资产当中，房屋构筑物10191.47万元，汽车 </w:t>
      </w:r>
      <w:r>
        <w:rPr>
          <w:rFonts w:hint="eastAsia" w:ascii="仿宋_GB2312" w:hAnsi="仿宋_GB2312" w:eastAsia="仿宋_GB2312" w:cs="仿宋_GB2312"/>
          <w:color w:val="auto"/>
          <w:sz w:val="30"/>
          <w:szCs w:val="30"/>
          <w:shd w:val="clear" w:color="auto" w:fill="FFFFFF"/>
          <w:lang w:val="en-US" w:eastAsia="zh-CN"/>
        </w:rPr>
        <w:t>6</w:t>
      </w:r>
      <w:r>
        <w:rPr>
          <w:rFonts w:hint="eastAsia" w:ascii="仿宋_GB2312" w:hAnsi="仿宋_GB2312" w:eastAsia="仿宋_GB2312" w:cs="仿宋_GB2312"/>
          <w:color w:val="auto"/>
          <w:sz w:val="30"/>
          <w:szCs w:val="30"/>
          <w:shd w:val="clear" w:color="auto" w:fill="FFFFFF"/>
        </w:rPr>
        <w:t>辆 161.06万元，单价200万元以上大型设备价值 2695.97万元，其他固定资产862.31万元。 </w:t>
      </w:r>
    </w:p>
    <w:p>
      <w:pPr>
        <w:ind w:firstLine="600" w:firstLineChars="200"/>
        <w:rPr>
          <w:rFonts w:hint="eastAsia" w:ascii="楷体" w:hAnsi="楷体" w:eastAsia="楷体" w:cstheme="minorEastAsia"/>
          <w:b w:val="0"/>
          <w:bCs/>
          <w:color w:val="auto"/>
          <w:sz w:val="32"/>
          <w:szCs w:val="32"/>
          <w:lang w:val="en-US" w:eastAsia="zh-CN"/>
        </w:rPr>
      </w:pPr>
      <w:r>
        <w:rPr>
          <w:rFonts w:hint="eastAsia" w:ascii="仿宋_GB2312" w:hAnsi="仿宋_GB2312" w:eastAsia="仿宋_GB2312" w:cs="仿宋_GB2312"/>
          <w:color w:val="auto"/>
          <w:sz w:val="30"/>
          <w:szCs w:val="30"/>
          <w:shd w:val="clear" w:color="auto" w:fill="FFFFFF"/>
        </w:rPr>
        <w:t>与上年相比，本年资产总额增加1431.43 万元。</w:t>
      </w:r>
    </w:p>
    <w:p>
      <w:pPr>
        <w:ind w:firstLine="320" w:firstLineChars="100"/>
        <w:rPr>
          <w:rFonts w:hint="eastAsia" w:ascii="楷体" w:hAnsi="楷体" w:eastAsia="楷体" w:cstheme="minorEastAsia"/>
          <w:b w:val="0"/>
          <w:bCs/>
          <w:color w:val="auto"/>
          <w:sz w:val="32"/>
          <w:szCs w:val="32"/>
          <w:lang w:val="en-US" w:eastAsia="zh-CN"/>
        </w:rPr>
      </w:pPr>
      <w:bookmarkStart w:id="0" w:name="_GoBack"/>
      <w:bookmarkEnd w:id="0"/>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lang w:eastAsia="zh-CN"/>
        </w:rPr>
        <w:t>本单位本年度无此预算，故无此项情况说明。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本单位本年度无此预算，故无此项情况说明。</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本单位本年度无此预算，故无此项情况说明。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28208E6"/>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CB3036A"/>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2021-06-03T07:37:41Z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